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commentsExtended.xml" ContentType="application/vnd.openxmlformats-officedocument.wordprocessingml.commentsExtended+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8" w:type="dxa"/>
        <w:tblCellMar>
          <w:left w:w="10" w:type="dxa"/>
          <w:right w:w="10" w:type="dxa"/>
        </w:tblCellMar>
        <w:tblLook w:val="0000" w:firstRow="0" w:lastRow="0" w:firstColumn="0" w:lastColumn="0" w:noHBand="0" w:noVBand="0"/>
      </w:tblPr>
      <w:tblGrid>
        <w:gridCol w:w="4986"/>
        <w:gridCol w:w="4234"/>
        <w:gridCol w:w="1148"/>
      </w:tblGrid>
      <w:tr w:rsidR="00035340" w14:paraId="25AC954F" w14:textId="77777777">
        <w:trPr>
          <w:trHeight w:val="1440"/>
        </w:trPr>
        <w:tc>
          <w:tcPr>
            <w:tcW w:w="3553" w:type="dxa"/>
            <w:shd w:val="clear" w:color="auto" w:fill="auto"/>
            <w:tcMar>
              <w:top w:w="0" w:type="dxa"/>
              <w:left w:w="108" w:type="dxa"/>
              <w:bottom w:w="0" w:type="dxa"/>
              <w:right w:w="108" w:type="dxa"/>
            </w:tcMar>
          </w:tcPr>
          <w:p w14:paraId="2D6A2D94" w14:textId="77777777" w:rsidR="00035340" w:rsidRDefault="0040354C">
            <w:pPr>
              <w:jc w:val="right"/>
              <w:rPr>
                <w:sz w:val="28"/>
                <w:szCs w:val="28"/>
              </w:rPr>
            </w:pPr>
            <w:bookmarkStart w:id="0" w:name="_GoBack"/>
            <w:bookmarkEnd w:id="0"/>
            <w:r>
              <w:rPr>
                <w:sz w:val="28"/>
                <w:szCs w:val="28"/>
              </w:rPr>
              <w:t xml:space="preserve">  </w:t>
            </w:r>
            <w:r w:rsidR="00C51543">
              <w:rPr>
                <w:sz w:val="28"/>
                <w:szCs w:val="28"/>
              </w:rPr>
              <w:t xml:space="preserve"> </w:t>
            </w:r>
            <w:r w:rsidR="00417C84">
              <w:rPr>
                <w:noProof/>
                <w:color w:val="1F497D"/>
              </w:rPr>
              <w:drawing>
                <wp:inline distT="0" distB="0" distL="0" distR="0" wp14:anchorId="662332CF" wp14:editId="6F611420">
                  <wp:extent cx="3025140" cy="548640"/>
                  <wp:effectExtent l="0" t="0" r="3810" b="3810"/>
                  <wp:docPr id="9" name="Picture 9" descr="cid:image003.png@01CF4DA3.68F7C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F4DA3.68F7C4F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025140" cy="548640"/>
                          </a:xfrm>
                          <a:prstGeom prst="rect">
                            <a:avLst/>
                          </a:prstGeom>
                          <a:noFill/>
                          <a:ln>
                            <a:noFill/>
                          </a:ln>
                        </pic:spPr>
                      </pic:pic>
                    </a:graphicData>
                  </a:graphic>
                </wp:inline>
              </w:drawing>
            </w:r>
          </w:p>
          <w:p w14:paraId="5D63615A" w14:textId="77777777" w:rsidR="00035340" w:rsidRDefault="00035340"/>
        </w:tc>
        <w:tc>
          <w:tcPr>
            <w:tcW w:w="5105" w:type="dxa"/>
            <w:shd w:val="clear" w:color="auto" w:fill="auto"/>
            <w:tcMar>
              <w:top w:w="0" w:type="dxa"/>
              <w:left w:w="108" w:type="dxa"/>
              <w:bottom w:w="0" w:type="dxa"/>
              <w:right w:w="108" w:type="dxa"/>
            </w:tcMar>
          </w:tcPr>
          <w:p w14:paraId="489AAAB0" w14:textId="77777777" w:rsidR="00035340" w:rsidRDefault="00147DEB">
            <w:pPr>
              <w:jc w:val="right"/>
            </w:pPr>
            <w:r w:rsidRPr="00127C76">
              <w:rPr>
                <w:noProof/>
              </w:rPr>
              <w:drawing>
                <wp:inline distT="0" distB="0" distL="0" distR="0" wp14:anchorId="7A4E0329" wp14:editId="1DDC3FB2">
                  <wp:extent cx="1638300" cy="299720"/>
                  <wp:effectExtent l="0" t="0" r="0" b="5080"/>
                  <wp:docPr id="2" name="Picture 3" descr="C:\Documents and Settings\amar.bokhari\Local Settings\Temporary Internet Files\Content.Word\UNDG logo 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ar.bokhari\Local Settings\Temporary Internet Files\Content.Word\UNDG logo sol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299720"/>
                          </a:xfrm>
                          <a:prstGeom prst="rect">
                            <a:avLst/>
                          </a:prstGeom>
                          <a:noFill/>
                          <a:ln>
                            <a:noFill/>
                          </a:ln>
                        </pic:spPr>
                      </pic:pic>
                    </a:graphicData>
                  </a:graphic>
                </wp:inline>
              </w:drawing>
            </w:r>
          </w:p>
          <w:p w14:paraId="7092F87A" w14:textId="77777777" w:rsidR="00035340" w:rsidRDefault="00035340">
            <w:pPr>
              <w:jc w:val="right"/>
            </w:pPr>
          </w:p>
          <w:p w14:paraId="515358A8" w14:textId="77777777" w:rsidR="00035340" w:rsidRDefault="00035340" w:rsidP="00147DEB">
            <w:pPr>
              <w:jc w:val="right"/>
            </w:pPr>
          </w:p>
        </w:tc>
        <w:tc>
          <w:tcPr>
            <w:tcW w:w="1710" w:type="dxa"/>
            <w:shd w:val="clear" w:color="auto" w:fill="auto"/>
            <w:tcMar>
              <w:top w:w="0" w:type="dxa"/>
              <w:left w:w="108" w:type="dxa"/>
              <w:bottom w:w="0" w:type="dxa"/>
              <w:right w:w="108" w:type="dxa"/>
            </w:tcMar>
          </w:tcPr>
          <w:p w14:paraId="057CF416" w14:textId="77777777" w:rsidR="00035340" w:rsidRDefault="00035340">
            <w:pPr>
              <w:jc w:val="right"/>
            </w:pPr>
          </w:p>
        </w:tc>
      </w:tr>
    </w:tbl>
    <w:p w14:paraId="68E8BCB5" w14:textId="77777777" w:rsidR="0040272B" w:rsidRDefault="0040272B">
      <w:pPr>
        <w:jc w:val="center"/>
        <w:rPr>
          <w:b/>
        </w:rPr>
      </w:pPr>
      <w:r w:rsidRPr="0040272B">
        <w:rPr>
          <w:b/>
        </w:rPr>
        <w:t xml:space="preserve">INCLUSIVE FINANCE FOR THE UNDER-SERVED ECONOMY </w:t>
      </w:r>
      <w:r>
        <w:rPr>
          <w:b/>
        </w:rPr>
        <w:t>JP</w:t>
      </w:r>
    </w:p>
    <w:p w14:paraId="439C50C2" w14:textId="77777777" w:rsidR="00035340" w:rsidRDefault="0040272B">
      <w:pPr>
        <w:jc w:val="center"/>
      </w:pPr>
      <w:r>
        <w:rPr>
          <w:b/>
          <w:bCs/>
          <w:caps/>
        </w:rPr>
        <w:t xml:space="preserve">MPTF OFfice GENERIC </w:t>
      </w:r>
      <w:commentRangeStart w:id="1"/>
      <w:r>
        <w:rPr>
          <w:b/>
          <w:bCs/>
          <w:caps/>
        </w:rPr>
        <w:t xml:space="preserve">ANNUAL </w:t>
      </w:r>
      <w:r w:rsidR="007F214E">
        <w:rPr>
          <w:b/>
          <w:bCs/>
          <w:caps/>
        </w:rPr>
        <w:t>programme</w:t>
      </w:r>
      <w:r>
        <w:rPr>
          <w:b/>
          <w:bCs/>
          <w:caps/>
        </w:rPr>
        <w:t xml:space="preserve"> </w:t>
      </w:r>
      <w:commentRangeEnd w:id="1"/>
      <w:r w:rsidR="00F62C22">
        <w:rPr>
          <w:rStyle w:val="CommentReference"/>
        </w:rPr>
        <w:commentReference w:id="1"/>
      </w:r>
      <w:r>
        <w:rPr>
          <w:b/>
          <w:bCs/>
          <w:caps/>
        </w:rPr>
        <w:t xml:space="preserve">NARRATIVE progress report </w:t>
      </w:r>
    </w:p>
    <w:p w14:paraId="5ED2F69F" w14:textId="77777777" w:rsidR="00035340" w:rsidRDefault="0040272B">
      <w:pPr>
        <w:jc w:val="center"/>
        <w:rPr>
          <w:b/>
          <w:bCs/>
          <w:caps/>
        </w:rPr>
      </w:pPr>
      <w:r>
        <w:rPr>
          <w:b/>
          <w:bCs/>
          <w:caps/>
        </w:rPr>
        <w:t>REPORTING PERI</w:t>
      </w:r>
      <w:r w:rsidR="00DF7E57">
        <w:rPr>
          <w:b/>
          <w:bCs/>
          <w:caps/>
        </w:rPr>
        <w:t xml:space="preserve">OD: </w:t>
      </w:r>
      <w:commentRangeStart w:id="2"/>
      <w:r w:rsidR="00DF7E57">
        <w:rPr>
          <w:b/>
          <w:bCs/>
          <w:caps/>
        </w:rPr>
        <w:t>1 january</w:t>
      </w:r>
      <w:ins w:id="3" w:author="Fiona Bayat" w:date="2015-04-21T09:07:00Z">
        <w:r w:rsidR="00F62C22">
          <w:rPr>
            <w:b/>
            <w:bCs/>
            <w:caps/>
          </w:rPr>
          <w:t xml:space="preserve"> 2008</w:t>
        </w:r>
      </w:ins>
      <w:r w:rsidR="00DF7E57">
        <w:rPr>
          <w:b/>
          <w:bCs/>
          <w:caps/>
        </w:rPr>
        <w:t xml:space="preserve"> – 31 December 2014</w:t>
      </w:r>
      <w:commentRangeEnd w:id="2"/>
      <w:r w:rsidR="00F62C22">
        <w:rPr>
          <w:rStyle w:val="CommentReference"/>
        </w:rPr>
        <w:commentReference w:id="2"/>
      </w:r>
    </w:p>
    <w:tbl>
      <w:tblPr>
        <w:tblW w:w="10673" w:type="dxa"/>
        <w:tblInd w:w="198" w:type="dxa"/>
        <w:tblLayout w:type="fixed"/>
        <w:tblCellMar>
          <w:left w:w="10" w:type="dxa"/>
          <w:right w:w="10" w:type="dxa"/>
        </w:tblCellMar>
        <w:tblLook w:val="0000" w:firstRow="0" w:lastRow="0" w:firstColumn="0" w:lastColumn="0" w:noHBand="0" w:noVBand="0"/>
      </w:tblPr>
      <w:tblGrid>
        <w:gridCol w:w="2926"/>
        <w:gridCol w:w="2602"/>
        <w:gridCol w:w="236"/>
        <w:gridCol w:w="2305"/>
        <w:gridCol w:w="2604"/>
      </w:tblGrid>
      <w:tr w:rsidR="00035340" w14:paraId="40F8F3C9" w14:textId="77777777" w:rsidTr="00431232">
        <w:trPr>
          <w:trHeight w:val="206"/>
        </w:trPr>
        <w:tc>
          <w:tcPr>
            <w:tcW w:w="5528" w:type="dxa"/>
            <w:gridSpan w:val="2"/>
            <w:tcBorders>
              <w:top w:val="single" w:sz="4" w:space="0" w:color="000000"/>
              <w:left w:val="single" w:sz="4" w:space="0" w:color="000000"/>
              <w:right w:val="single" w:sz="4" w:space="0" w:color="000000"/>
            </w:tcBorders>
            <w:shd w:val="clear" w:color="auto" w:fill="F3F3F3"/>
            <w:tcMar>
              <w:top w:w="0" w:type="dxa"/>
              <w:left w:w="108" w:type="dxa"/>
              <w:bottom w:w="0" w:type="dxa"/>
              <w:right w:w="108" w:type="dxa"/>
            </w:tcMar>
            <w:vAlign w:val="center"/>
          </w:tcPr>
          <w:p w14:paraId="5E4C0AED" w14:textId="77777777" w:rsidR="00035340" w:rsidRDefault="007F214E">
            <w:pPr>
              <w:pStyle w:val="H1"/>
              <w:jc w:val="center"/>
              <w:rPr>
                <w:rFonts w:cs="Times New Roman"/>
              </w:rPr>
            </w:pPr>
            <w:r>
              <w:rPr>
                <w:rFonts w:cs="Times New Roman"/>
              </w:rPr>
              <w:t>Programme</w:t>
            </w:r>
            <w:r w:rsidR="0040272B">
              <w:rPr>
                <w:rFonts w:cs="Times New Roman"/>
              </w:rPr>
              <w:t xml:space="preserve"> Title &amp; Project Number</w:t>
            </w:r>
          </w:p>
        </w:tc>
        <w:tc>
          <w:tcPr>
            <w:tcW w:w="236"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64C05C8" w14:textId="77777777" w:rsidR="00035340" w:rsidRDefault="00035340">
            <w:pPr>
              <w:jc w:val="center"/>
            </w:pPr>
          </w:p>
        </w:tc>
        <w:tc>
          <w:tcPr>
            <w:tcW w:w="4909" w:type="dxa"/>
            <w:gridSpan w:val="2"/>
            <w:tcBorders>
              <w:top w:val="single" w:sz="4" w:space="0" w:color="000000"/>
              <w:left w:val="single" w:sz="4" w:space="0" w:color="000000"/>
              <w:right w:val="single" w:sz="4" w:space="0" w:color="000000"/>
            </w:tcBorders>
            <w:shd w:val="clear" w:color="auto" w:fill="F3F3F3"/>
            <w:tcMar>
              <w:top w:w="0" w:type="dxa"/>
              <w:left w:w="108" w:type="dxa"/>
              <w:bottom w:w="0" w:type="dxa"/>
              <w:right w:w="108" w:type="dxa"/>
            </w:tcMar>
            <w:vAlign w:val="center"/>
          </w:tcPr>
          <w:p w14:paraId="4D86A1C5" w14:textId="77777777" w:rsidR="00035340" w:rsidRDefault="0040272B">
            <w:pPr>
              <w:pStyle w:val="H1"/>
              <w:jc w:val="center"/>
            </w:pPr>
            <w:r>
              <w:rPr>
                <w:rFonts w:cs="Times New Roman"/>
              </w:rPr>
              <w:t>Country, Locality(s), Priority Area(s) / Strategic Results</w:t>
            </w:r>
          </w:p>
        </w:tc>
      </w:tr>
      <w:tr w:rsidR="00035340" w14:paraId="2BFFADAF" w14:textId="77777777" w:rsidTr="00431232">
        <w:trPr>
          <w:trHeight w:val="300"/>
        </w:trPr>
        <w:tc>
          <w:tcPr>
            <w:tcW w:w="5528" w:type="dxa"/>
            <w:gridSpan w:val="2"/>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D2B1B" w14:textId="77777777" w:rsidR="00035340" w:rsidRDefault="007F214E">
            <w:pPr>
              <w:pStyle w:val="BodyText"/>
              <w:numPr>
                <w:ilvl w:val="0"/>
                <w:numId w:val="2"/>
              </w:numPr>
              <w:spacing w:before="60" w:after="60"/>
              <w:ind w:left="342"/>
              <w:jc w:val="both"/>
            </w:pPr>
            <w:r>
              <w:rPr>
                <w:rFonts w:ascii="Times New Roman" w:hAnsi="Times New Roman"/>
                <w:bCs/>
                <w:iCs/>
                <w:szCs w:val="28"/>
              </w:rPr>
              <w:t>Programme</w:t>
            </w:r>
            <w:r w:rsidR="0040272B">
              <w:rPr>
                <w:rFonts w:ascii="Times New Roman" w:hAnsi="Times New Roman"/>
                <w:bCs/>
                <w:iCs/>
                <w:szCs w:val="28"/>
              </w:rPr>
              <w:t xml:space="preserve"> Title:</w:t>
            </w:r>
            <w:r w:rsidR="0040272B">
              <w:rPr>
                <w:rFonts w:ascii="Times New Roman" w:hAnsi="Times New Roman" w:cs="Times New Roman"/>
                <w:bCs/>
                <w:iCs/>
              </w:rPr>
              <w:t xml:space="preserve"> Inclusive Finance for the Under-served Economy (INFUSE)</w:t>
            </w:r>
          </w:p>
          <w:p w14:paraId="735B706A" w14:textId="77777777" w:rsidR="00035340" w:rsidRDefault="007F214E">
            <w:pPr>
              <w:pStyle w:val="BodyText"/>
              <w:numPr>
                <w:ilvl w:val="0"/>
                <w:numId w:val="2"/>
              </w:numPr>
              <w:spacing w:before="60" w:after="60"/>
              <w:ind w:left="342"/>
              <w:jc w:val="both"/>
            </w:pPr>
            <w:r>
              <w:rPr>
                <w:rFonts w:ascii="Times New Roman" w:hAnsi="Times New Roman"/>
                <w:bCs/>
                <w:iCs/>
                <w:szCs w:val="28"/>
              </w:rPr>
              <w:t>Programme</w:t>
            </w:r>
            <w:r w:rsidR="0040272B">
              <w:rPr>
                <w:rFonts w:ascii="Times New Roman" w:hAnsi="Times New Roman"/>
                <w:bCs/>
                <w:iCs/>
                <w:szCs w:val="28"/>
              </w:rPr>
              <w:t xml:space="preserve"> Number </w:t>
            </w:r>
          </w:p>
          <w:p w14:paraId="15F488E6" w14:textId="77777777" w:rsidR="00035340" w:rsidRDefault="0040272B">
            <w:pPr>
              <w:pStyle w:val="Heading2"/>
              <w:shd w:val="clear" w:color="auto" w:fill="FFFFFF"/>
              <w:ind w:left="342"/>
            </w:pPr>
            <w:bookmarkStart w:id="4" w:name="_Toc288467974"/>
            <w:bookmarkStart w:id="5" w:name="_Toc288468702"/>
            <w:bookmarkStart w:id="6" w:name="_Toc288469179"/>
            <w:bookmarkStart w:id="7" w:name="_Toc288470228"/>
            <w:bookmarkStart w:id="8" w:name="_Toc288486039"/>
            <w:bookmarkStart w:id="9" w:name="_Toc332631352"/>
            <w:bookmarkStart w:id="10" w:name="_Toc384136048"/>
            <w:bookmarkStart w:id="11" w:name="_Toc384219841"/>
            <w:bookmarkStart w:id="12" w:name="_Toc384220796"/>
            <w:r>
              <w:rPr>
                <w:b w:val="0"/>
                <w:sz w:val="20"/>
                <w:szCs w:val="20"/>
              </w:rPr>
              <w:t>UNDP:</w:t>
            </w:r>
            <w:r>
              <w:rPr>
                <w:b w:val="0"/>
                <w:sz w:val="20"/>
                <w:szCs w:val="20"/>
                <w:lang w:eastAsia="ja-JP"/>
              </w:rPr>
              <w:t xml:space="preserve"> 00050242 (Award ID),</w:t>
            </w:r>
            <w:r>
              <w:rPr>
                <w:b w:val="0"/>
                <w:sz w:val="20"/>
                <w:szCs w:val="20"/>
              </w:rPr>
              <w:t xml:space="preserve"> 00061961</w:t>
            </w:r>
            <w:r>
              <w:rPr>
                <w:b w:val="0"/>
                <w:sz w:val="20"/>
                <w:szCs w:val="20"/>
                <w:lang w:eastAsia="ja-JP"/>
              </w:rPr>
              <w:t>(Project ID)</w:t>
            </w:r>
            <w:bookmarkEnd w:id="4"/>
            <w:bookmarkEnd w:id="5"/>
            <w:bookmarkEnd w:id="6"/>
            <w:bookmarkEnd w:id="7"/>
            <w:bookmarkEnd w:id="8"/>
            <w:bookmarkEnd w:id="9"/>
            <w:bookmarkEnd w:id="10"/>
            <w:bookmarkEnd w:id="11"/>
            <w:bookmarkEnd w:id="12"/>
            <w:r>
              <w:rPr>
                <w:b w:val="0"/>
                <w:sz w:val="20"/>
                <w:szCs w:val="20"/>
                <w:lang w:eastAsia="ja-JP"/>
              </w:rPr>
              <w:t xml:space="preserve"> </w:t>
            </w:r>
          </w:p>
          <w:p w14:paraId="613492BB" w14:textId="77777777" w:rsidR="00035340" w:rsidRDefault="0040272B">
            <w:pPr>
              <w:shd w:val="clear" w:color="auto" w:fill="FFFFFF"/>
              <w:ind w:left="342"/>
            </w:pPr>
            <w:r>
              <w:rPr>
                <w:sz w:val="20"/>
                <w:szCs w:val="20"/>
              </w:rPr>
              <w:t>UNCDF</w:t>
            </w:r>
            <w:r>
              <w:rPr>
                <w:sz w:val="20"/>
                <w:szCs w:val="20"/>
                <w:lang w:eastAsia="ja-JP"/>
              </w:rPr>
              <w:t>- Core</w:t>
            </w:r>
            <w:r>
              <w:rPr>
                <w:sz w:val="20"/>
                <w:szCs w:val="20"/>
              </w:rPr>
              <w:t xml:space="preserve">: </w:t>
            </w:r>
            <w:r>
              <w:rPr>
                <w:sz w:val="20"/>
                <w:szCs w:val="20"/>
                <w:lang w:eastAsia="ja-JP"/>
              </w:rPr>
              <w:t xml:space="preserve">00050456 (Award ID), </w:t>
            </w:r>
            <w:r>
              <w:rPr>
                <w:sz w:val="20"/>
                <w:szCs w:val="20"/>
              </w:rPr>
              <w:t>0006235</w:t>
            </w:r>
            <w:r>
              <w:rPr>
                <w:sz w:val="20"/>
                <w:szCs w:val="20"/>
                <w:lang w:eastAsia="ja-JP"/>
              </w:rPr>
              <w:t xml:space="preserve">9 (Project ID) </w:t>
            </w:r>
          </w:p>
          <w:p w14:paraId="38EDEC19" w14:textId="77777777" w:rsidR="00035340" w:rsidRDefault="0040272B">
            <w:pPr>
              <w:shd w:val="clear" w:color="auto" w:fill="FFFFFF"/>
              <w:ind w:left="342"/>
              <w:rPr>
                <w:sz w:val="20"/>
                <w:szCs w:val="20"/>
                <w:lang w:eastAsia="ja-JP"/>
              </w:rPr>
            </w:pPr>
            <w:r>
              <w:rPr>
                <w:sz w:val="20"/>
                <w:szCs w:val="20"/>
                <w:lang w:eastAsia="ja-JP"/>
              </w:rPr>
              <w:t>UNCDF-GoTL: 00058333 (Award ID), 00072424 (Project ID)</w:t>
            </w:r>
          </w:p>
          <w:p w14:paraId="1A873E98" w14:textId="77777777" w:rsidR="00035340" w:rsidRDefault="0040272B">
            <w:pPr>
              <w:shd w:val="clear" w:color="auto" w:fill="FFFFFF"/>
              <w:ind w:left="342"/>
              <w:rPr>
                <w:sz w:val="20"/>
                <w:szCs w:val="20"/>
                <w:lang w:eastAsia="ja-JP"/>
              </w:rPr>
            </w:pPr>
            <w:r>
              <w:rPr>
                <w:sz w:val="20"/>
                <w:szCs w:val="20"/>
                <w:lang w:eastAsia="ja-JP"/>
              </w:rPr>
              <w:t>AusAID: 00060350 (Award ID), 00075947 (Project)</w:t>
            </w:r>
          </w:p>
          <w:p w14:paraId="517919F2" w14:textId="77777777" w:rsidR="00035340" w:rsidRDefault="0040272B">
            <w:pPr>
              <w:pStyle w:val="BodyText"/>
              <w:numPr>
                <w:ilvl w:val="0"/>
                <w:numId w:val="2"/>
              </w:numPr>
              <w:spacing w:before="60" w:after="60"/>
              <w:ind w:left="342"/>
              <w:jc w:val="both"/>
            </w:pPr>
            <w:r>
              <w:rPr>
                <w:rFonts w:ascii="Times New Roman" w:hAnsi="Times New Roman"/>
                <w:bCs/>
                <w:iCs/>
                <w:szCs w:val="28"/>
              </w:rPr>
              <w:t>MPTF Office Project Reference Number:</w:t>
            </w:r>
            <w:r>
              <w:rPr>
                <w:rFonts w:ascii="Times New Roman" w:hAnsi="Times New Roman"/>
                <w:i/>
              </w:rPr>
              <w:t xml:space="preserve"> </w:t>
            </w:r>
          </w:p>
          <w:p w14:paraId="2DE532C1" w14:textId="77777777" w:rsidR="00035340" w:rsidRDefault="0040272B">
            <w:pPr>
              <w:pStyle w:val="BodyText"/>
              <w:spacing w:before="60" w:after="60"/>
              <w:ind w:left="342"/>
              <w:jc w:val="both"/>
            </w:pPr>
            <w:r>
              <w:rPr>
                <w:rFonts w:ascii="Times New Roman" w:hAnsi="Times New Roman" w:cs="Times New Roman"/>
                <w:lang w:eastAsia="ja-JP"/>
              </w:rPr>
              <w:t>00055655 (Award ID), 00067655 (Project ID)</w:t>
            </w:r>
          </w:p>
        </w:tc>
        <w:tc>
          <w:tcPr>
            <w:tcW w:w="2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CD8E7C9" w14:textId="77777777" w:rsidR="00035340" w:rsidRDefault="00035340">
            <w:pPr>
              <w:pStyle w:val="BodyText"/>
              <w:rPr>
                <w:rFonts w:ascii="Times New Roman" w:hAnsi="Times New Roman"/>
              </w:rPr>
            </w:pPr>
          </w:p>
        </w:tc>
        <w:tc>
          <w:tcPr>
            <w:tcW w:w="4909"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0E369" w14:textId="77777777" w:rsidR="00035340" w:rsidRDefault="0040272B">
            <w:pPr>
              <w:pStyle w:val="BodyText"/>
            </w:pPr>
            <w:r>
              <w:rPr>
                <w:rFonts w:ascii="Times New Roman" w:hAnsi="Times New Roman" w:cs="Times New Roman"/>
                <w:bCs/>
                <w:iCs/>
              </w:rPr>
              <w:t>Timor-Leste</w:t>
            </w:r>
          </w:p>
          <w:p w14:paraId="2C61015F" w14:textId="77777777" w:rsidR="00035340" w:rsidRDefault="00035340">
            <w:pPr>
              <w:pStyle w:val="BodyText"/>
              <w:rPr>
                <w:rFonts w:ascii="Times New Roman" w:hAnsi="Times New Roman"/>
                <w:sz w:val="24"/>
              </w:rPr>
            </w:pPr>
          </w:p>
          <w:p w14:paraId="207E6544" w14:textId="77777777" w:rsidR="00035340" w:rsidRDefault="00035340">
            <w:pPr>
              <w:pStyle w:val="BodyText"/>
              <w:rPr>
                <w:rFonts w:ascii="Times New Roman" w:hAnsi="Times New Roman"/>
                <w:sz w:val="24"/>
              </w:rPr>
            </w:pPr>
          </w:p>
        </w:tc>
      </w:tr>
      <w:tr w:rsidR="00035340" w14:paraId="6535B4EA" w14:textId="77777777" w:rsidTr="00431232">
        <w:trPr>
          <w:trHeight w:val="426"/>
        </w:trPr>
        <w:tc>
          <w:tcPr>
            <w:tcW w:w="5528"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6CD19" w14:textId="77777777" w:rsidR="00035340" w:rsidRDefault="00035340">
            <w:pPr>
              <w:pStyle w:val="BodyText"/>
              <w:numPr>
                <w:ilvl w:val="0"/>
                <w:numId w:val="2"/>
              </w:numPr>
              <w:spacing w:before="60" w:after="60"/>
              <w:ind w:left="342"/>
              <w:jc w:val="both"/>
              <w:rPr>
                <w:rFonts w:ascii="Times New Roman" w:hAnsi="Times New Roman"/>
                <w:bCs/>
                <w:iCs/>
                <w:szCs w:val="28"/>
              </w:rPr>
            </w:pPr>
          </w:p>
        </w:tc>
        <w:tc>
          <w:tcPr>
            <w:tcW w:w="2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1E6E63D" w14:textId="77777777" w:rsidR="00035340" w:rsidRDefault="00035340">
            <w:pPr>
              <w:pStyle w:val="BodyText"/>
              <w:rPr>
                <w:rFonts w:ascii="Times New Roman" w:hAnsi="Times New Roman"/>
              </w:rPr>
            </w:pPr>
          </w:p>
        </w:tc>
        <w:tc>
          <w:tcPr>
            <w:tcW w:w="49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B87CE" w14:textId="77777777" w:rsidR="00035340" w:rsidRDefault="0040272B">
            <w:pPr>
              <w:pStyle w:val="BodyText"/>
              <w:rPr>
                <w:rFonts w:ascii="Times New Roman" w:hAnsi="Times New Roman"/>
                <w:bCs/>
                <w:i/>
                <w:iCs/>
              </w:rPr>
            </w:pPr>
            <w:r>
              <w:rPr>
                <w:rFonts w:ascii="Times New Roman" w:hAnsi="Times New Roman"/>
                <w:bCs/>
                <w:i/>
                <w:iCs/>
              </w:rPr>
              <w:t xml:space="preserve">Inclusive Finance </w:t>
            </w:r>
          </w:p>
        </w:tc>
      </w:tr>
      <w:tr w:rsidR="00035340" w14:paraId="4D4DEE3F" w14:textId="77777777" w:rsidTr="00431232">
        <w:trPr>
          <w:trHeight w:val="206"/>
        </w:trPr>
        <w:tc>
          <w:tcPr>
            <w:tcW w:w="5528" w:type="dxa"/>
            <w:gridSpan w:val="2"/>
            <w:tcBorders>
              <w:top w:val="single" w:sz="4" w:space="0" w:color="000000"/>
              <w:left w:val="single" w:sz="4" w:space="0" w:color="000000"/>
              <w:right w:val="single" w:sz="4" w:space="0" w:color="000000"/>
            </w:tcBorders>
            <w:shd w:val="clear" w:color="auto" w:fill="F3F3F3"/>
            <w:tcMar>
              <w:top w:w="0" w:type="dxa"/>
              <w:left w:w="108" w:type="dxa"/>
              <w:bottom w:w="0" w:type="dxa"/>
              <w:right w:w="108" w:type="dxa"/>
            </w:tcMar>
            <w:vAlign w:val="center"/>
          </w:tcPr>
          <w:p w14:paraId="586A4EFF" w14:textId="77777777" w:rsidR="00035340" w:rsidRDefault="0040272B">
            <w:pPr>
              <w:pStyle w:val="H1"/>
              <w:jc w:val="center"/>
              <w:rPr>
                <w:rFonts w:cs="Times New Roman"/>
              </w:rPr>
            </w:pPr>
            <w:r>
              <w:rPr>
                <w:rFonts w:cs="Times New Roman"/>
              </w:rPr>
              <w:t>Participating Organization(s)</w:t>
            </w:r>
          </w:p>
        </w:tc>
        <w:tc>
          <w:tcPr>
            <w:tcW w:w="236"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1656C40" w14:textId="77777777" w:rsidR="00035340" w:rsidRDefault="00035340">
            <w:pPr>
              <w:jc w:val="center"/>
            </w:pPr>
          </w:p>
        </w:tc>
        <w:tc>
          <w:tcPr>
            <w:tcW w:w="4909" w:type="dxa"/>
            <w:gridSpan w:val="2"/>
            <w:tcBorders>
              <w:top w:val="single" w:sz="4" w:space="0" w:color="000000"/>
              <w:left w:val="single" w:sz="4" w:space="0" w:color="000000"/>
              <w:right w:val="single" w:sz="4" w:space="0" w:color="000000"/>
            </w:tcBorders>
            <w:shd w:val="clear" w:color="auto" w:fill="F3F3F3"/>
            <w:tcMar>
              <w:top w:w="0" w:type="dxa"/>
              <w:left w:w="108" w:type="dxa"/>
              <w:bottom w:w="0" w:type="dxa"/>
              <w:right w:w="108" w:type="dxa"/>
            </w:tcMar>
            <w:vAlign w:val="center"/>
          </w:tcPr>
          <w:p w14:paraId="2AF67E09" w14:textId="77777777" w:rsidR="00035340" w:rsidRDefault="0040272B">
            <w:pPr>
              <w:pStyle w:val="H1"/>
              <w:jc w:val="center"/>
            </w:pPr>
            <w:r>
              <w:rPr>
                <w:rFonts w:cs="Times New Roman"/>
              </w:rPr>
              <w:t>Implementing Partners</w:t>
            </w:r>
          </w:p>
        </w:tc>
      </w:tr>
      <w:tr w:rsidR="00035340" w14:paraId="57AF89BC" w14:textId="77777777" w:rsidTr="00431232">
        <w:trPr>
          <w:trHeight w:val="1350"/>
        </w:trPr>
        <w:tc>
          <w:tcPr>
            <w:tcW w:w="552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9B719" w14:textId="77777777" w:rsidR="00035340" w:rsidRDefault="0040272B">
            <w:pPr>
              <w:pStyle w:val="BodyText"/>
              <w:numPr>
                <w:ilvl w:val="0"/>
                <w:numId w:val="2"/>
              </w:numPr>
              <w:spacing w:before="60" w:after="60"/>
              <w:ind w:left="342"/>
              <w:jc w:val="both"/>
              <w:rPr>
                <w:rFonts w:ascii="Times New Roman" w:hAnsi="Times New Roman" w:cs="Times New Roman"/>
                <w:bCs/>
                <w:iCs/>
              </w:rPr>
            </w:pPr>
            <w:r>
              <w:rPr>
                <w:rFonts w:ascii="Times New Roman" w:hAnsi="Times New Roman" w:cs="Times New Roman"/>
                <w:bCs/>
                <w:iCs/>
              </w:rPr>
              <w:t>United Nations Capital Development Fund (UNCDF)</w:t>
            </w:r>
          </w:p>
          <w:p w14:paraId="0CB211E7" w14:textId="77777777" w:rsidR="00035340" w:rsidRDefault="0040272B" w:rsidP="0040272B">
            <w:pPr>
              <w:pStyle w:val="BodyText"/>
              <w:numPr>
                <w:ilvl w:val="0"/>
                <w:numId w:val="2"/>
              </w:numPr>
              <w:spacing w:before="60" w:after="60"/>
              <w:ind w:left="342"/>
              <w:jc w:val="both"/>
            </w:pPr>
            <w:r>
              <w:rPr>
                <w:rFonts w:ascii="Times New Roman" w:hAnsi="Times New Roman" w:cs="Times New Roman"/>
                <w:bCs/>
                <w:iCs/>
              </w:rPr>
              <w:t xml:space="preserve">United Nations Development </w:t>
            </w:r>
            <w:r w:rsidR="007F214E">
              <w:rPr>
                <w:rFonts w:ascii="Times New Roman" w:hAnsi="Times New Roman" w:cs="Times New Roman"/>
                <w:bCs/>
                <w:iCs/>
              </w:rPr>
              <w:t>Programme</w:t>
            </w:r>
            <w:r>
              <w:rPr>
                <w:rFonts w:ascii="Times New Roman" w:hAnsi="Times New Roman" w:cs="Times New Roman"/>
                <w:bCs/>
                <w:iCs/>
              </w:rPr>
              <w:t xml:space="preserve"> (UNDP)</w:t>
            </w:r>
          </w:p>
        </w:tc>
        <w:tc>
          <w:tcPr>
            <w:tcW w:w="2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66579E6" w14:textId="77777777" w:rsidR="00035340" w:rsidRDefault="00035340">
            <w:pPr>
              <w:pStyle w:val="BodyText"/>
              <w:rPr>
                <w:rFonts w:ascii="Times New Roman" w:hAnsi="Times New Roman"/>
              </w:rPr>
            </w:pPr>
          </w:p>
        </w:tc>
        <w:tc>
          <w:tcPr>
            <w:tcW w:w="4909"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24220" w14:textId="77777777" w:rsidR="00035340" w:rsidRPr="0040272B" w:rsidRDefault="0040272B" w:rsidP="00A11B9C">
            <w:pPr>
              <w:pStyle w:val="BodyText"/>
              <w:numPr>
                <w:ilvl w:val="0"/>
                <w:numId w:val="2"/>
              </w:numPr>
              <w:spacing w:before="60" w:after="60"/>
              <w:ind w:left="342"/>
              <w:jc w:val="both"/>
            </w:pPr>
            <w:r>
              <w:rPr>
                <w:rFonts w:ascii="Times New Roman" w:hAnsi="Times New Roman" w:cs="Times New Roman"/>
              </w:rPr>
              <w:t>Ministry of Commerce, Industry &amp; Environment (MCIE)</w:t>
            </w:r>
            <w:r w:rsidR="00A11B9C">
              <w:rPr>
                <w:rFonts w:ascii="Times New Roman" w:hAnsi="Times New Roman" w:cs="Times New Roman"/>
              </w:rPr>
              <w:t xml:space="preserve"> </w:t>
            </w:r>
            <w:r>
              <w:rPr>
                <w:rFonts w:ascii="Times New Roman" w:hAnsi="Times New Roman" w:cs="Times New Roman"/>
              </w:rPr>
              <w:t>/ Government of Timor-Leste</w:t>
            </w:r>
          </w:p>
        </w:tc>
      </w:tr>
      <w:tr w:rsidR="00035340" w14:paraId="300A66D8" w14:textId="77777777" w:rsidTr="00431232">
        <w:trPr>
          <w:trHeight w:val="440"/>
        </w:trPr>
        <w:tc>
          <w:tcPr>
            <w:tcW w:w="5528" w:type="dxa"/>
            <w:gridSpan w:val="2"/>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0443CF69" w14:textId="77777777" w:rsidR="00035340" w:rsidRDefault="007F214E">
            <w:pPr>
              <w:pStyle w:val="H1"/>
              <w:jc w:val="center"/>
              <w:rPr>
                <w:rFonts w:cs="Times New Roman"/>
              </w:rPr>
            </w:pPr>
            <w:r>
              <w:rPr>
                <w:rFonts w:cs="Times New Roman"/>
              </w:rPr>
              <w:t>Programme</w:t>
            </w:r>
            <w:r w:rsidR="0040272B">
              <w:rPr>
                <w:rFonts w:cs="Times New Roman"/>
              </w:rPr>
              <w:t>/Project Cost (US$)</w:t>
            </w:r>
          </w:p>
        </w:tc>
        <w:tc>
          <w:tcPr>
            <w:tcW w:w="236"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878A804" w14:textId="77777777" w:rsidR="00035340" w:rsidRDefault="00035340">
            <w:pPr>
              <w:pStyle w:val="H1"/>
              <w:jc w:val="center"/>
              <w:rPr>
                <w:rFonts w:cs="Times New Roman"/>
              </w:rPr>
            </w:pPr>
          </w:p>
        </w:tc>
        <w:tc>
          <w:tcPr>
            <w:tcW w:w="4909" w:type="dxa"/>
            <w:gridSpan w:val="2"/>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07D27620" w14:textId="77777777" w:rsidR="00035340" w:rsidRDefault="007F214E">
            <w:pPr>
              <w:pStyle w:val="H1"/>
              <w:jc w:val="center"/>
              <w:rPr>
                <w:rFonts w:cs="Times New Roman"/>
              </w:rPr>
            </w:pPr>
            <w:r>
              <w:rPr>
                <w:rFonts w:cs="Times New Roman"/>
              </w:rPr>
              <w:t>Programme</w:t>
            </w:r>
            <w:r w:rsidR="0040272B">
              <w:rPr>
                <w:rFonts w:cs="Times New Roman"/>
              </w:rPr>
              <w:t xml:space="preserve"> Duration</w:t>
            </w:r>
          </w:p>
        </w:tc>
      </w:tr>
      <w:tr w:rsidR="00CE7E65" w14:paraId="06D5ED07" w14:textId="77777777" w:rsidTr="00431232">
        <w:trPr>
          <w:trHeight w:val="855"/>
        </w:trPr>
        <w:tc>
          <w:tcPr>
            <w:tcW w:w="2926" w:type="dxa"/>
            <w:tcBorders>
              <w:left w:val="single" w:sz="4" w:space="0" w:color="000000"/>
            </w:tcBorders>
            <w:shd w:val="clear" w:color="auto" w:fill="auto"/>
            <w:tcMar>
              <w:top w:w="0" w:type="dxa"/>
              <w:left w:w="108" w:type="dxa"/>
              <w:bottom w:w="0" w:type="dxa"/>
              <w:right w:w="108" w:type="dxa"/>
            </w:tcMar>
            <w:vAlign w:val="center"/>
          </w:tcPr>
          <w:p w14:paraId="1A182F4F" w14:textId="77777777" w:rsidR="00CE7E65" w:rsidRDefault="00CE7E65" w:rsidP="00CE7E65">
            <w:pPr>
              <w:pStyle w:val="H2"/>
            </w:pPr>
            <w:r>
              <w:rPr>
                <w:rFonts w:cs="Times New Roman"/>
                <w:b w:val="0"/>
                <w:sz w:val="20"/>
                <w:szCs w:val="20"/>
              </w:rPr>
              <w:t xml:space="preserve">MPTF /JP Contribution (pass-through):  </w:t>
            </w:r>
          </w:p>
          <w:p w14:paraId="2CDB9E13" w14:textId="77777777" w:rsidR="00CE7E65" w:rsidRDefault="00CE7E65" w:rsidP="00CE7E65">
            <w:pPr>
              <w:pStyle w:val="H2"/>
              <w:numPr>
                <w:ilvl w:val="0"/>
                <w:numId w:val="3"/>
              </w:numPr>
              <w:ind w:left="162" w:hanging="180"/>
            </w:pPr>
            <w:r>
              <w:rPr>
                <w:rFonts w:cs="Times New Roman"/>
                <w:b w:val="0"/>
                <w:i/>
                <w:sz w:val="18"/>
                <w:szCs w:val="18"/>
              </w:rPr>
              <w:t>AusAid</w:t>
            </w:r>
          </w:p>
          <w:p w14:paraId="004C1779" w14:textId="77777777" w:rsidR="00CE7E65" w:rsidRDefault="00CE7E65" w:rsidP="00CE7E65">
            <w:pPr>
              <w:pStyle w:val="H2"/>
              <w:numPr>
                <w:ilvl w:val="0"/>
                <w:numId w:val="3"/>
              </w:numPr>
              <w:ind w:left="162" w:hanging="180"/>
            </w:pPr>
            <w:r>
              <w:rPr>
                <w:rFonts w:cs="Times New Roman"/>
                <w:b w:val="0"/>
                <w:i/>
                <w:sz w:val="18"/>
                <w:szCs w:val="18"/>
              </w:rPr>
              <w:t>GoTL</w:t>
            </w:r>
          </w:p>
        </w:tc>
        <w:tc>
          <w:tcPr>
            <w:tcW w:w="2602" w:type="dxa"/>
            <w:tcBorders>
              <w:right w:val="single" w:sz="4" w:space="0" w:color="000000"/>
            </w:tcBorders>
            <w:shd w:val="clear" w:color="auto" w:fill="auto"/>
            <w:tcMar>
              <w:top w:w="0" w:type="dxa"/>
              <w:left w:w="108" w:type="dxa"/>
              <w:bottom w:w="0" w:type="dxa"/>
              <w:right w:w="108" w:type="dxa"/>
            </w:tcMar>
            <w:vAlign w:val="center"/>
          </w:tcPr>
          <w:p w14:paraId="022D24E6" w14:textId="77777777" w:rsidR="00CE7E65" w:rsidRDefault="00CE7E65" w:rsidP="00CE7E65">
            <w:pPr>
              <w:pStyle w:val="BodyText"/>
              <w:rPr>
                <w:rFonts w:ascii="Times New Roman" w:hAnsi="Times New Roman"/>
                <w:color w:val="000000"/>
              </w:rPr>
            </w:pPr>
            <w:commentRangeStart w:id="13"/>
          </w:p>
          <w:p w14:paraId="18ED37EB" w14:textId="77777777" w:rsidR="00CE7E65" w:rsidRDefault="00CE7E65" w:rsidP="00CE7E65">
            <w:pPr>
              <w:pStyle w:val="BodyText"/>
              <w:rPr>
                <w:rFonts w:ascii="Times New Roman" w:hAnsi="Times New Roman"/>
                <w:color w:val="000000"/>
              </w:rPr>
            </w:pPr>
          </w:p>
          <w:p w14:paraId="5F86E23D" w14:textId="77777777" w:rsidR="00CE7E65" w:rsidRDefault="00CE7E65" w:rsidP="00CE7E65">
            <w:pPr>
              <w:pStyle w:val="BodyText"/>
              <w:rPr>
                <w:rFonts w:ascii="Times New Roman" w:hAnsi="Times New Roman"/>
                <w:color w:val="000000"/>
              </w:rPr>
            </w:pPr>
          </w:p>
          <w:p w14:paraId="54A21ABC" w14:textId="77777777" w:rsidR="00CE7E65" w:rsidRDefault="00CE7E65" w:rsidP="00CE7E65">
            <w:pPr>
              <w:pStyle w:val="BodyText"/>
              <w:rPr>
                <w:rFonts w:ascii="Times New Roman" w:hAnsi="Times New Roman"/>
                <w:color w:val="000000"/>
              </w:rPr>
            </w:pPr>
            <w:r>
              <w:rPr>
                <w:rFonts w:ascii="Times New Roman" w:hAnsi="Times New Roman"/>
                <w:color w:val="000000"/>
              </w:rPr>
              <w:t xml:space="preserve">US$ </w:t>
            </w:r>
            <w:del w:id="14" w:author="Fiona Bayat" w:date="2015-04-21T09:05:00Z">
              <w:r w:rsidR="008D0041" w:rsidDel="00F62C22">
                <w:rPr>
                  <w:rFonts w:ascii="Times New Roman" w:hAnsi="Times New Roman"/>
                  <w:color w:val="000000"/>
                </w:rPr>
                <w:delText>2,254,692</w:delText>
              </w:r>
            </w:del>
            <w:ins w:id="15" w:author="Fiona Bayat" w:date="2015-04-21T09:05:00Z">
              <w:r w:rsidR="00F62C22">
                <w:rPr>
                  <w:rFonts w:ascii="Times New Roman" w:hAnsi="Times New Roman"/>
                  <w:color w:val="000000"/>
                </w:rPr>
                <w:t>2,331,150</w:t>
              </w:r>
            </w:ins>
          </w:p>
          <w:p w14:paraId="69E874E9" w14:textId="77777777" w:rsidR="00CE7E65" w:rsidRDefault="00CE7E65" w:rsidP="00CE7E65">
            <w:pPr>
              <w:pStyle w:val="BodyText"/>
              <w:rPr>
                <w:rFonts w:ascii="Times New Roman" w:hAnsi="Times New Roman"/>
              </w:rPr>
            </w:pPr>
            <w:r>
              <w:rPr>
                <w:rFonts w:ascii="Times New Roman" w:hAnsi="Times New Roman"/>
              </w:rPr>
              <w:t xml:space="preserve">US$ </w:t>
            </w:r>
            <w:del w:id="16" w:author="Fiona Bayat" w:date="2015-04-21T09:05:00Z">
              <w:r w:rsidR="008D0041" w:rsidDel="00F62C22">
                <w:rPr>
                  <w:rFonts w:ascii="Times New Roman" w:hAnsi="Times New Roman"/>
                </w:rPr>
                <w:delText>891,000</w:delText>
              </w:r>
            </w:del>
            <w:ins w:id="17" w:author="Fiona Bayat" w:date="2015-04-21T09:05:00Z">
              <w:r w:rsidR="00F62C22">
                <w:rPr>
                  <w:rFonts w:ascii="Times New Roman" w:hAnsi="Times New Roman"/>
                </w:rPr>
                <w:t>900,000</w:t>
              </w:r>
            </w:ins>
          </w:p>
          <w:p w14:paraId="15DA0DF3" w14:textId="77777777" w:rsidR="00CE7E65" w:rsidRDefault="00CE7E65" w:rsidP="00CE7E65">
            <w:pPr>
              <w:pStyle w:val="BodyText"/>
            </w:pPr>
            <w:r>
              <w:rPr>
                <w:rFonts w:ascii="Times New Roman" w:hAnsi="Times New Roman"/>
              </w:rPr>
              <w:t xml:space="preserve">    </w:t>
            </w:r>
            <w:commentRangeEnd w:id="13"/>
            <w:r w:rsidR="00F62C22">
              <w:rPr>
                <w:rStyle w:val="CommentReference"/>
                <w:rFonts w:ascii="Times New Roman" w:hAnsi="Times New Roman" w:cs="Times New Roman"/>
              </w:rPr>
              <w:commentReference w:id="13"/>
            </w:r>
          </w:p>
        </w:tc>
        <w:tc>
          <w:tcPr>
            <w:tcW w:w="236"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955EE0E" w14:textId="77777777" w:rsidR="00CE7E65" w:rsidRDefault="00CE7E65" w:rsidP="00CE7E65">
            <w:pPr>
              <w:pStyle w:val="BodyText"/>
              <w:rPr>
                <w:rFonts w:ascii="Times New Roman" w:hAnsi="Times New Roman"/>
              </w:rPr>
            </w:pPr>
          </w:p>
        </w:tc>
        <w:tc>
          <w:tcPr>
            <w:tcW w:w="2305" w:type="dxa"/>
            <w:tcBorders>
              <w:left w:val="single" w:sz="4" w:space="0" w:color="000000"/>
            </w:tcBorders>
            <w:shd w:val="clear" w:color="auto" w:fill="auto"/>
            <w:tcMar>
              <w:top w:w="0" w:type="dxa"/>
              <w:left w:w="108" w:type="dxa"/>
              <w:bottom w:w="0" w:type="dxa"/>
              <w:right w:w="108" w:type="dxa"/>
            </w:tcMar>
            <w:vAlign w:val="center"/>
          </w:tcPr>
          <w:p w14:paraId="209A7391" w14:textId="77777777" w:rsidR="00CE7E65" w:rsidRDefault="00CE7E65" w:rsidP="00CE7E65">
            <w:pPr>
              <w:pStyle w:val="BodyText"/>
              <w:rPr>
                <w:rFonts w:ascii="Times New Roman" w:hAnsi="Times New Roman"/>
              </w:rPr>
            </w:pPr>
            <w:r>
              <w:rPr>
                <w:rFonts w:ascii="Times New Roman" w:hAnsi="Times New Roman"/>
              </w:rPr>
              <w:t xml:space="preserve">Overall Duration </w:t>
            </w:r>
          </w:p>
          <w:p w14:paraId="60504B67" w14:textId="77777777" w:rsidR="00CE7E65" w:rsidRDefault="00CE7E65" w:rsidP="00CE7E65">
            <w:pPr>
              <w:pStyle w:val="BodyText"/>
            </w:pPr>
            <w:r>
              <w:rPr>
                <w:rFonts w:ascii="Times New Roman" w:hAnsi="Times New Roman"/>
                <w:i/>
              </w:rPr>
              <w:t>2008-2014</w:t>
            </w:r>
            <w:r w:rsidR="00E128F4">
              <w:rPr>
                <w:rFonts w:ascii="Times New Roman" w:hAnsi="Times New Roman"/>
                <w:i/>
              </w:rPr>
              <w:t xml:space="preserve"> (84 months)</w:t>
            </w:r>
          </w:p>
        </w:tc>
        <w:tc>
          <w:tcPr>
            <w:tcW w:w="2604" w:type="dxa"/>
            <w:tcBorders>
              <w:right w:val="single" w:sz="4" w:space="0" w:color="000000"/>
            </w:tcBorders>
            <w:shd w:val="clear" w:color="auto" w:fill="auto"/>
            <w:tcMar>
              <w:top w:w="0" w:type="dxa"/>
              <w:left w:w="108" w:type="dxa"/>
              <w:bottom w:w="0" w:type="dxa"/>
              <w:right w:w="108" w:type="dxa"/>
            </w:tcMar>
            <w:vAlign w:val="center"/>
          </w:tcPr>
          <w:p w14:paraId="0369A46F" w14:textId="77777777" w:rsidR="00CE7E65" w:rsidRDefault="00CE7E65" w:rsidP="00CE7E65">
            <w:pPr>
              <w:pStyle w:val="BodyText"/>
              <w:widowControl w:val="0"/>
              <w:rPr>
                <w:rFonts w:ascii="Times New Roman" w:hAnsi="Times New Roman"/>
              </w:rPr>
            </w:pPr>
          </w:p>
        </w:tc>
      </w:tr>
      <w:tr w:rsidR="00CE7E65" w14:paraId="7150000F" w14:textId="77777777" w:rsidTr="00431232">
        <w:trPr>
          <w:trHeight w:val="350"/>
        </w:trPr>
        <w:tc>
          <w:tcPr>
            <w:tcW w:w="2926" w:type="dxa"/>
            <w:tcBorders>
              <w:left w:val="single" w:sz="4" w:space="0" w:color="000000"/>
            </w:tcBorders>
            <w:shd w:val="clear" w:color="auto" w:fill="auto"/>
            <w:tcMar>
              <w:top w:w="0" w:type="dxa"/>
              <w:left w:w="108" w:type="dxa"/>
              <w:bottom w:w="0" w:type="dxa"/>
              <w:right w:w="108" w:type="dxa"/>
            </w:tcMar>
            <w:vAlign w:val="center"/>
          </w:tcPr>
          <w:p w14:paraId="57F2C995" w14:textId="77777777" w:rsidR="00CE7E65" w:rsidRDefault="00CE7E65" w:rsidP="00CE7E65">
            <w:pPr>
              <w:pStyle w:val="H2"/>
              <w:rPr>
                <w:rFonts w:cs="Times New Roman"/>
                <w:b w:val="0"/>
                <w:sz w:val="20"/>
                <w:szCs w:val="20"/>
              </w:rPr>
            </w:pPr>
            <w:r>
              <w:rPr>
                <w:rFonts w:cs="Times New Roman"/>
                <w:b w:val="0"/>
                <w:sz w:val="20"/>
                <w:szCs w:val="20"/>
              </w:rPr>
              <w:t>Agency Contribution</w:t>
            </w:r>
          </w:p>
          <w:p w14:paraId="182C4122" w14:textId="77777777" w:rsidR="00CE7E65" w:rsidRDefault="00CE7E65" w:rsidP="00CE7E65">
            <w:pPr>
              <w:pStyle w:val="H2"/>
              <w:ind w:left="162"/>
            </w:pPr>
          </w:p>
        </w:tc>
        <w:tc>
          <w:tcPr>
            <w:tcW w:w="2602" w:type="dxa"/>
            <w:tcBorders>
              <w:right w:val="single" w:sz="4" w:space="0" w:color="000000"/>
            </w:tcBorders>
            <w:shd w:val="clear" w:color="auto" w:fill="auto"/>
            <w:tcMar>
              <w:top w:w="0" w:type="dxa"/>
              <w:left w:w="108" w:type="dxa"/>
              <w:bottom w:w="0" w:type="dxa"/>
              <w:right w:w="108" w:type="dxa"/>
            </w:tcMar>
            <w:vAlign w:val="center"/>
          </w:tcPr>
          <w:p w14:paraId="74CB6D52" w14:textId="77777777" w:rsidR="00CE7E65" w:rsidRDefault="00CE7E65" w:rsidP="00CE7E65">
            <w:pPr>
              <w:pStyle w:val="BodyText"/>
              <w:rPr>
                <w:rFonts w:ascii="Times New Roman" w:hAnsi="Times New Roman"/>
              </w:rPr>
            </w:pPr>
            <w:r>
              <w:rPr>
                <w:rFonts w:ascii="Times New Roman" w:hAnsi="Times New Roman"/>
              </w:rPr>
              <w:t>UNCDF: US$ 1,4</w:t>
            </w:r>
            <w:r w:rsidR="007069E0">
              <w:rPr>
                <w:rFonts w:ascii="Times New Roman" w:hAnsi="Times New Roman"/>
              </w:rPr>
              <w:t>0</w:t>
            </w:r>
            <w:r>
              <w:rPr>
                <w:rFonts w:ascii="Times New Roman" w:hAnsi="Times New Roman"/>
              </w:rPr>
              <w:t>6,054</w:t>
            </w:r>
          </w:p>
          <w:p w14:paraId="3B2DD6EE" w14:textId="77777777" w:rsidR="00CE7E65" w:rsidRDefault="00CE7E65" w:rsidP="008D0041">
            <w:pPr>
              <w:pStyle w:val="BodyText"/>
              <w:rPr>
                <w:rFonts w:ascii="Times New Roman" w:hAnsi="Times New Roman"/>
              </w:rPr>
            </w:pPr>
            <w:r>
              <w:rPr>
                <w:rFonts w:ascii="Times New Roman" w:hAnsi="Times New Roman"/>
              </w:rPr>
              <w:t xml:space="preserve">UNDP   : US$    </w:t>
            </w:r>
            <w:r w:rsidR="008D0041">
              <w:rPr>
                <w:rFonts w:ascii="Times New Roman" w:hAnsi="Times New Roman"/>
              </w:rPr>
              <w:t>564</w:t>
            </w:r>
            <w:r>
              <w:rPr>
                <w:rFonts w:ascii="Times New Roman" w:hAnsi="Times New Roman"/>
              </w:rPr>
              <w:t>,0</w:t>
            </w:r>
            <w:r w:rsidR="008D0041">
              <w:rPr>
                <w:rFonts w:ascii="Times New Roman" w:hAnsi="Times New Roman"/>
              </w:rPr>
              <w:t>17</w:t>
            </w:r>
          </w:p>
        </w:tc>
        <w:tc>
          <w:tcPr>
            <w:tcW w:w="236"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89B30EA" w14:textId="77777777" w:rsidR="00CE7E65" w:rsidRDefault="00CE7E65" w:rsidP="00CE7E65">
            <w:pPr>
              <w:pStyle w:val="BodyText"/>
              <w:rPr>
                <w:rFonts w:ascii="Times New Roman" w:hAnsi="Times New Roman"/>
              </w:rPr>
            </w:pPr>
          </w:p>
        </w:tc>
        <w:tc>
          <w:tcPr>
            <w:tcW w:w="4909" w:type="dxa"/>
            <w:gridSpan w:val="2"/>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4B073A6" w14:textId="77777777" w:rsidR="00CE7E65" w:rsidRDefault="00CE7E65" w:rsidP="00CE7E65">
            <w:pPr>
              <w:pStyle w:val="BodyText"/>
              <w:rPr>
                <w:rFonts w:ascii="Times New Roman" w:hAnsi="Times New Roman" w:cs="Times New Roman"/>
              </w:rPr>
            </w:pPr>
            <w:r>
              <w:rPr>
                <w:rFonts w:ascii="Times New Roman" w:hAnsi="Times New Roman" w:cs="Times New Roman"/>
              </w:rPr>
              <w:t>Start Date                                              27 August 2010</w:t>
            </w:r>
          </w:p>
          <w:p w14:paraId="20517DB3" w14:textId="77777777" w:rsidR="00E128F4" w:rsidRDefault="00E128F4" w:rsidP="00EC43A1">
            <w:pPr>
              <w:pStyle w:val="BodyText"/>
            </w:pPr>
            <w:r>
              <w:rPr>
                <w:rFonts w:ascii="Times New Roman" w:hAnsi="Times New Roman" w:cs="Times New Roman"/>
              </w:rPr>
              <w:t xml:space="preserve">Original End Date:                                </w:t>
            </w:r>
            <w:r w:rsidR="00EC43A1">
              <w:rPr>
                <w:rFonts w:ascii="Times New Roman" w:hAnsi="Times New Roman" w:cs="Times New Roman"/>
              </w:rPr>
              <w:t>31 December 2012</w:t>
            </w:r>
          </w:p>
        </w:tc>
      </w:tr>
      <w:tr w:rsidR="00035340" w14:paraId="4ED62CE6" w14:textId="77777777" w:rsidTr="00431232">
        <w:trPr>
          <w:trHeight w:val="297"/>
        </w:trPr>
        <w:tc>
          <w:tcPr>
            <w:tcW w:w="2926" w:type="dxa"/>
            <w:tcBorders>
              <w:left w:val="single" w:sz="4" w:space="0" w:color="000000"/>
            </w:tcBorders>
            <w:shd w:val="clear" w:color="auto" w:fill="D9D9D9"/>
            <w:tcMar>
              <w:top w:w="0" w:type="dxa"/>
              <w:left w:w="108" w:type="dxa"/>
              <w:bottom w:w="0" w:type="dxa"/>
              <w:right w:w="108" w:type="dxa"/>
            </w:tcMar>
            <w:vAlign w:val="center"/>
          </w:tcPr>
          <w:p w14:paraId="251F3CF5" w14:textId="77777777" w:rsidR="00035340" w:rsidRDefault="00035340">
            <w:pPr>
              <w:pStyle w:val="H2"/>
            </w:pPr>
          </w:p>
        </w:tc>
        <w:tc>
          <w:tcPr>
            <w:tcW w:w="2602" w:type="dxa"/>
            <w:tcBorders>
              <w:right w:val="single" w:sz="4" w:space="0" w:color="000000"/>
            </w:tcBorders>
            <w:shd w:val="clear" w:color="auto" w:fill="D9D9D9"/>
            <w:tcMar>
              <w:top w:w="0" w:type="dxa"/>
              <w:left w:w="108" w:type="dxa"/>
              <w:bottom w:w="0" w:type="dxa"/>
              <w:right w:w="108" w:type="dxa"/>
            </w:tcMar>
            <w:vAlign w:val="center"/>
          </w:tcPr>
          <w:p w14:paraId="3A724012" w14:textId="77777777" w:rsidR="00035340" w:rsidRDefault="00035340">
            <w:pPr>
              <w:pStyle w:val="BodyText"/>
              <w:rPr>
                <w:rFonts w:ascii="Times New Roman" w:hAnsi="Times New Roman"/>
              </w:rPr>
            </w:pPr>
          </w:p>
        </w:tc>
        <w:tc>
          <w:tcPr>
            <w:tcW w:w="236"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C10CDCD" w14:textId="77777777" w:rsidR="00035340" w:rsidRDefault="00035340">
            <w:pPr>
              <w:pStyle w:val="BodyText"/>
              <w:rPr>
                <w:rFonts w:ascii="Times New Roman" w:hAnsi="Times New Roman"/>
              </w:rPr>
            </w:pPr>
          </w:p>
        </w:tc>
        <w:tc>
          <w:tcPr>
            <w:tcW w:w="4909" w:type="dxa"/>
            <w:gridSpan w:val="2"/>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BB41474" w14:textId="77777777" w:rsidR="00E128F4" w:rsidRDefault="00E128F4">
            <w:pPr>
              <w:pStyle w:val="BodyText"/>
              <w:rPr>
                <w:rFonts w:ascii="Times New Roman" w:hAnsi="Times New Roman" w:cs="Times New Roman"/>
              </w:rPr>
            </w:pPr>
          </w:p>
          <w:p w14:paraId="06817DF6" w14:textId="77777777" w:rsidR="00035340" w:rsidRDefault="00EC43A1">
            <w:pPr>
              <w:pStyle w:val="BodyText"/>
            </w:pPr>
            <w:r>
              <w:rPr>
                <w:rFonts w:ascii="Times New Roman" w:hAnsi="Times New Roman" w:cs="Times New Roman"/>
              </w:rPr>
              <w:t xml:space="preserve">Current </w:t>
            </w:r>
            <w:r w:rsidR="0040272B">
              <w:rPr>
                <w:rFonts w:ascii="Times New Roman" w:hAnsi="Times New Roman" w:cs="Times New Roman"/>
              </w:rPr>
              <w:t xml:space="preserve">End Date                       </w:t>
            </w:r>
            <w:r w:rsidR="00A67A87">
              <w:rPr>
                <w:rFonts w:ascii="Times New Roman" w:hAnsi="Times New Roman" w:cs="Times New Roman"/>
              </w:rPr>
              <w:tab/>
              <w:t xml:space="preserve">   </w:t>
            </w:r>
            <w:r w:rsidR="0040272B">
              <w:rPr>
                <w:rFonts w:ascii="Times New Roman" w:hAnsi="Times New Roman" w:cs="Times New Roman"/>
              </w:rPr>
              <w:t xml:space="preserve"> </w:t>
            </w:r>
            <w:r w:rsidR="00BD2D6A">
              <w:rPr>
                <w:rFonts w:ascii="Times New Roman" w:hAnsi="Times New Roman" w:cs="Times New Roman"/>
              </w:rPr>
              <w:t>31 December</w:t>
            </w:r>
            <w:r w:rsidR="0040272B">
              <w:rPr>
                <w:rFonts w:ascii="Times New Roman" w:hAnsi="Times New Roman" w:cs="Times New Roman"/>
              </w:rPr>
              <w:t xml:space="preserve"> </w:t>
            </w:r>
            <w:r w:rsidR="00A67A87">
              <w:rPr>
                <w:rFonts w:ascii="Times New Roman" w:hAnsi="Times New Roman" w:cs="Times New Roman"/>
              </w:rPr>
              <w:t>2014</w:t>
            </w:r>
          </w:p>
          <w:p w14:paraId="30C9F559" w14:textId="77777777" w:rsidR="00035340" w:rsidRDefault="00F62C22">
            <w:pPr>
              <w:pStyle w:val="BodyText"/>
              <w:rPr>
                <w:rFonts w:ascii="Times New Roman" w:hAnsi="Times New Roman" w:cs="Times New Roman"/>
              </w:rPr>
            </w:pPr>
            <w:ins w:id="18" w:author="Fiona Bayat" w:date="2015-04-21T09:08:00Z">
              <w:r>
                <w:rPr>
                  <w:rFonts w:ascii="Times New Roman" w:hAnsi="Times New Roman" w:cs="Times New Roman"/>
                </w:rPr>
                <w:t>This project is now operationally closed.</w:t>
              </w:r>
            </w:ins>
          </w:p>
        </w:tc>
      </w:tr>
      <w:tr w:rsidR="00CE7E65" w14:paraId="1AEECCBE" w14:textId="77777777" w:rsidTr="00431232">
        <w:trPr>
          <w:trHeight w:val="81"/>
        </w:trPr>
        <w:tc>
          <w:tcPr>
            <w:tcW w:w="292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9855E08" w14:textId="77777777" w:rsidR="00CE7E65" w:rsidRDefault="00CE7E65" w:rsidP="00CE7E65">
            <w:pPr>
              <w:pStyle w:val="H2"/>
              <w:rPr>
                <w:rFonts w:cs="Times New Roman"/>
                <w:sz w:val="20"/>
                <w:szCs w:val="20"/>
              </w:rPr>
            </w:pPr>
            <w:del w:id="19" w:author="Fiona Bayat" w:date="2015-04-21T09:09:00Z">
              <w:r w:rsidDel="00F62C22">
                <w:rPr>
                  <w:rFonts w:cs="Times New Roman"/>
                  <w:sz w:val="20"/>
                  <w:szCs w:val="20"/>
                </w:rPr>
                <w:delText>TOTAL:</w:delText>
              </w:r>
            </w:del>
          </w:p>
        </w:tc>
        <w:tc>
          <w:tcPr>
            <w:tcW w:w="26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C7510A7" w14:textId="77777777" w:rsidR="00CE7E65" w:rsidRPr="000337F0" w:rsidRDefault="00CE7E65" w:rsidP="008B5777">
            <w:pPr>
              <w:pStyle w:val="BodyText"/>
              <w:rPr>
                <w:rFonts w:ascii="Times New Roman" w:hAnsi="Times New Roman"/>
                <w:b/>
              </w:rPr>
            </w:pPr>
            <w:del w:id="20" w:author="Fiona Bayat" w:date="2015-04-21T09:09:00Z">
              <w:r w:rsidDel="00F62C22">
                <w:rPr>
                  <w:rFonts w:ascii="Times New Roman" w:hAnsi="Times New Roman"/>
                </w:rPr>
                <w:delText xml:space="preserve">                 </w:delText>
              </w:r>
              <w:r w:rsidRPr="000337F0" w:rsidDel="00F62C22">
                <w:rPr>
                  <w:rFonts w:ascii="Times New Roman" w:hAnsi="Times New Roman"/>
                  <w:b/>
                </w:rPr>
                <w:delText>US$ 5,</w:delText>
              </w:r>
              <w:r w:rsidR="008D0041" w:rsidDel="00F62C22">
                <w:rPr>
                  <w:rFonts w:ascii="Times New Roman" w:hAnsi="Times New Roman"/>
                  <w:b/>
                </w:rPr>
                <w:delText>115,76</w:delText>
              </w:r>
              <w:r w:rsidR="008B5777" w:rsidDel="00F62C22">
                <w:rPr>
                  <w:rFonts w:ascii="Times New Roman" w:hAnsi="Times New Roman"/>
                  <w:b/>
                </w:rPr>
                <w:delText>3</w:delText>
              </w:r>
            </w:del>
          </w:p>
        </w:tc>
        <w:tc>
          <w:tcPr>
            <w:tcW w:w="236"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20CB5E8" w14:textId="77777777" w:rsidR="00CE7E65" w:rsidRDefault="00CE7E65" w:rsidP="00CE7E65">
            <w:pPr>
              <w:pStyle w:val="BodyText"/>
              <w:rPr>
                <w:rFonts w:ascii="Times New Roman" w:hAnsi="Times New Roman"/>
              </w:rPr>
            </w:pPr>
          </w:p>
        </w:tc>
        <w:tc>
          <w:tcPr>
            <w:tcW w:w="230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CAB3397" w14:textId="77777777" w:rsidR="00CE7E65" w:rsidRDefault="00CE7E65" w:rsidP="00CE7E65">
            <w:pPr>
              <w:pStyle w:val="BodyText"/>
              <w:rPr>
                <w:rFonts w:ascii="Times New Roman" w:hAnsi="Times New Roman"/>
                <w:color w:val="000000"/>
              </w:rPr>
            </w:pPr>
          </w:p>
        </w:tc>
        <w:tc>
          <w:tcPr>
            <w:tcW w:w="260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EE6E513" w14:textId="77777777" w:rsidR="00CE7E65" w:rsidRDefault="00CE7E65" w:rsidP="00CE7E65">
            <w:pPr>
              <w:pStyle w:val="BodyText"/>
              <w:rPr>
                <w:rFonts w:ascii="Times New Roman" w:hAnsi="Times New Roman"/>
              </w:rPr>
            </w:pPr>
          </w:p>
        </w:tc>
      </w:tr>
      <w:tr w:rsidR="00035340" w14:paraId="6EDB6888" w14:textId="77777777" w:rsidTr="00431232">
        <w:trPr>
          <w:trHeight w:val="206"/>
        </w:trPr>
        <w:tc>
          <w:tcPr>
            <w:tcW w:w="5528" w:type="dxa"/>
            <w:gridSpan w:val="2"/>
            <w:tcBorders>
              <w:top w:val="single" w:sz="4" w:space="0" w:color="000000"/>
              <w:left w:val="single" w:sz="4" w:space="0" w:color="000000"/>
              <w:right w:val="single" w:sz="4" w:space="0" w:color="000000"/>
            </w:tcBorders>
            <w:shd w:val="clear" w:color="auto" w:fill="F3F3F3"/>
            <w:tcMar>
              <w:top w:w="0" w:type="dxa"/>
              <w:left w:w="108" w:type="dxa"/>
              <w:bottom w:w="0" w:type="dxa"/>
              <w:right w:w="108" w:type="dxa"/>
            </w:tcMar>
          </w:tcPr>
          <w:p w14:paraId="56314966" w14:textId="77777777" w:rsidR="00035340" w:rsidRDefault="007F214E">
            <w:pPr>
              <w:pStyle w:val="H1"/>
              <w:ind w:right="-120" w:hanging="70"/>
              <w:jc w:val="center"/>
              <w:rPr>
                <w:rFonts w:cs="Times New Roman"/>
              </w:rPr>
            </w:pPr>
            <w:r>
              <w:rPr>
                <w:rFonts w:cs="Times New Roman"/>
              </w:rPr>
              <w:t>Programme</w:t>
            </w:r>
            <w:r w:rsidR="0040272B">
              <w:rPr>
                <w:rFonts w:cs="Times New Roman"/>
              </w:rPr>
              <w:t xml:space="preserve"> Assessment/Review/Mid-Term Eval.</w:t>
            </w:r>
          </w:p>
        </w:tc>
        <w:tc>
          <w:tcPr>
            <w:tcW w:w="236"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3BD9A69F" w14:textId="77777777" w:rsidR="00035340" w:rsidRDefault="00035340"/>
        </w:tc>
        <w:tc>
          <w:tcPr>
            <w:tcW w:w="4909" w:type="dxa"/>
            <w:gridSpan w:val="2"/>
            <w:tcBorders>
              <w:top w:val="single" w:sz="4" w:space="0" w:color="000000"/>
              <w:left w:val="single" w:sz="4" w:space="0" w:color="000000"/>
              <w:right w:val="single" w:sz="4" w:space="0" w:color="000000"/>
            </w:tcBorders>
            <w:shd w:val="clear" w:color="auto" w:fill="F3F3F3"/>
            <w:tcMar>
              <w:top w:w="0" w:type="dxa"/>
              <w:left w:w="108" w:type="dxa"/>
              <w:bottom w:w="0" w:type="dxa"/>
              <w:right w:w="108" w:type="dxa"/>
            </w:tcMar>
          </w:tcPr>
          <w:p w14:paraId="27D9F010" w14:textId="77777777" w:rsidR="00035340" w:rsidRDefault="0040272B">
            <w:pPr>
              <w:pStyle w:val="H1"/>
              <w:jc w:val="center"/>
            </w:pPr>
            <w:r>
              <w:rPr>
                <w:bCs w:val="0"/>
              </w:rPr>
              <w:t>Report Submitted By</w:t>
            </w:r>
          </w:p>
        </w:tc>
      </w:tr>
      <w:tr w:rsidR="00035340" w14:paraId="619722E7" w14:textId="77777777" w:rsidTr="00431232">
        <w:trPr>
          <w:trHeight w:val="423"/>
        </w:trPr>
        <w:tc>
          <w:tcPr>
            <w:tcW w:w="552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6179F" w14:textId="77777777" w:rsidR="00035340" w:rsidRDefault="0040272B">
            <w:pPr>
              <w:pStyle w:val="BodyText"/>
            </w:pPr>
            <w:r>
              <w:rPr>
                <w:rFonts w:ascii="Times New Roman" w:hAnsi="Times New Roman"/>
              </w:rPr>
              <w:t xml:space="preserve">Assessment/Review  - if applicable </w:t>
            </w:r>
            <w:r>
              <w:rPr>
                <w:rFonts w:ascii="Times New Roman" w:hAnsi="Times New Roman" w:cs="Times New Roman"/>
                <w:bCs/>
                <w:i/>
                <w:iCs/>
                <w:sz w:val="18"/>
                <w:szCs w:val="18"/>
                <w:lang w:val="en-GB"/>
              </w:rPr>
              <w:t>please attach</w:t>
            </w:r>
          </w:p>
          <w:p w14:paraId="06053676" w14:textId="77777777" w:rsidR="00035340" w:rsidRDefault="00097401">
            <w:pPr>
              <w:pStyle w:val="BodyText"/>
            </w:pPr>
            <w:r>
              <w:rPr>
                <w:noProof/>
              </w:rPr>
              <mc:AlternateContent>
                <mc:Choice Requires="wps">
                  <w:drawing>
                    <wp:anchor distT="0" distB="0" distL="114300" distR="114300" simplePos="0" relativeHeight="251656192" behindDoc="0" locked="0" layoutInCell="1" allowOverlap="1" wp14:anchorId="258456A0" wp14:editId="60FBEC20">
                      <wp:simplePos x="0" y="0"/>
                      <wp:positionH relativeFrom="column">
                        <wp:posOffset>524510</wp:posOffset>
                      </wp:positionH>
                      <wp:positionV relativeFrom="paragraph">
                        <wp:posOffset>17145</wp:posOffset>
                      </wp:positionV>
                      <wp:extent cx="90805" cy="90805"/>
                      <wp:effectExtent l="0" t="0" r="23495" b="2349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90805"/>
                              </a:xfrm>
                              <a:prstGeom prst="rect">
                                <a:avLst/>
                              </a:pr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33FFBB5A" id="Rectangle 7" o:spid="_x0000_s1026" style="position:absolute;margin-left:41.3pt;margin-top:1.3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" strokeweight=".26467mm">
                      <v:path arrowok="t"/>
                      <v:textbox inset="0,0,0,0"/>
                    </v:rect>
                  </w:pict>
                </mc:Fallback>
              </mc:AlternateContent>
            </w:r>
            <w:r>
              <w:rPr>
                <w:noProof/>
              </w:rPr>
              <mc:AlternateContent>
                <mc:Choice Requires="wps">
                  <w:drawing>
                    <wp:anchor distT="0" distB="0" distL="114300" distR="114300" simplePos="0" relativeHeight="251659264" behindDoc="0" locked="0" layoutInCell="1" allowOverlap="1" wp14:anchorId="3B9E63B6" wp14:editId="46642006">
                      <wp:simplePos x="0" y="0"/>
                      <wp:positionH relativeFrom="column">
                        <wp:posOffset>-8890</wp:posOffset>
                      </wp:positionH>
                      <wp:positionV relativeFrom="paragraph">
                        <wp:posOffset>17145</wp:posOffset>
                      </wp:positionV>
                      <wp:extent cx="90805" cy="90805"/>
                      <wp:effectExtent l="0" t="0" r="23495" b="2349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90805"/>
                              </a:xfrm>
                              <a:prstGeom prst="rect">
                                <a:avLst/>
                              </a:pr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DAA1EAE" id="Rectangle 10" o:spid="_x0000_s1026" style="position:absolute;margin-left:-.7pt;margin-top:1.3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" strokeweight=".26467mm">
                      <v:path arrowok="t"/>
                      <v:textbox inset="0,0,0,0"/>
                    </v:rect>
                  </w:pict>
                </mc:Fallback>
              </mc:AlternateContent>
            </w:r>
            <w:r w:rsidR="0040272B">
              <w:rPr>
                <w:rFonts w:ascii="Times New Roman" w:hAnsi="Times New Roman"/>
              </w:rPr>
              <w:t xml:space="preserve">     Yes          No    Date: </w:t>
            </w:r>
            <w:r w:rsidR="0040272B">
              <w:rPr>
                <w:rFonts w:ascii="Times New Roman" w:hAnsi="Times New Roman"/>
                <w:i/>
              </w:rPr>
              <w:t>dd.mm.yyyy</w:t>
            </w:r>
          </w:p>
          <w:p w14:paraId="1106FE8C" w14:textId="77777777" w:rsidR="00035340" w:rsidRDefault="0040272B">
            <w:pPr>
              <w:pStyle w:val="BodyText"/>
            </w:pPr>
            <w:r>
              <w:rPr>
                <w:rFonts w:ascii="Times New Roman" w:hAnsi="Times New Roman"/>
              </w:rPr>
              <w:t xml:space="preserve">Mid-Term Evaluation Report </w:t>
            </w:r>
            <w:r>
              <w:rPr>
                <w:rFonts w:ascii="Times New Roman" w:hAnsi="Times New Roman" w:cs="Times New Roman"/>
                <w:bCs/>
                <w:i/>
                <w:iCs/>
                <w:sz w:val="18"/>
                <w:szCs w:val="18"/>
                <w:lang w:val="en-GB"/>
              </w:rPr>
              <w:t>– if applicable please attach</w:t>
            </w:r>
            <w:r>
              <w:rPr>
                <w:rFonts w:ascii="Times New Roman" w:hAnsi="Times New Roman"/>
                <w:b/>
              </w:rPr>
              <w:t xml:space="preserve">          </w:t>
            </w:r>
          </w:p>
          <w:p w14:paraId="546004BE" w14:textId="77777777" w:rsidR="00035340" w:rsidRDefault="00097401">
            <w:pPr>
              <w:pStyle w:val="BodyText"/>
            </w:pPr>
            <w:r>
              <w:rPr>
                <w:noProof/>
              </w:rPr>
              <mc:AlternateContent>
                <mc:Choice Requires="wps">
                  <w:drawing>
                    <wp:anchor distT="0" distB="0" distL="114300" distR="114300" simplePos="0" relativeHeight="251658240" behindDoc="0" locked="0" layoutInCell="1" allowOverlap="1" wp14:anchorId="0A2D5708" wp14:editId="08708103">
                      <wp:simplePos x="0" y="0"/>
                      <wp:positionH relativeFrom="column">
                        <wp:posOffset>519430</wp:posOffset>
                      </wp:positionH>
                      <wp:positionV relativeFrom="paragraph">
                        <wp:posOffset>20320</wp:posOffset>
                      </wp:positionV>
                      <wp:extent cx="90805" cy="90805"/>
                      <wp:effectExtent l="0" t="0" r="23495" b="2349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90805"/>
                              </a:xfrm>
                              <a:prstGeom prst="rect">
                                <a:avLst/>
                              </a:pr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7081DCCB" id="Rectangle 9" o:spid="_x0000_s1026" style="position:absolute;margin-left:40.9pt;margin-top:1.6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" strokeweight=".26467mm">
                      <v:path arrowok="t"/>
                      <v:textbox inset="0,0,0,0"/>
                    </v:rect>
                  </w:pict>
                </mc:Fallback>
              </mc:AlternateContent>
            </w:r>
            <w:r>
              <w:rPr>
                <w:noProof/>
              </w:rPr>
              <mc:AlternateContent>
                <mc:Choice Requires="wps">
                  <w:drawing>
                    <wp:anchor distT="0" distB="0" distL="114300" distR="114300" simplePos="0" relativeHeight="251657216" behindDoc="0" locked="0" layoutInCell="1" allowOverlap="1" wp14:anchorId="5F11FEEB" wp14:editId="506D6B5D">
                      <wp:simplePos x="0" y="0"/>
                      <wp:positionH relativeFrom="column">
                        <wp:posOffset>-8890</wp:posOffset>
                      </wp:positionH>
                      <wp:positionV relativeFrom="paragraph">
                        <wp:posOffset>20955</wp:posOffset>
                      </wp:positionV>
                      <wp:extent cx="90805" cy="90805"/>
                      <wp:effectExtent l="0" t="0" r="23495" b="2349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90805"/>
                              </a:xfrm>
                              <a:prstGeom prst="rect">
                                <a:avLst/>
                              </a:pr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7D49D576" id="Rectangle 8" o:spid="_x0000_s1026" style="position:absolute;margin-left:-.7pt;margin-top:1.6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" strokeweight=".26467mm">
                      <v:path arrowok="t"/>
                      <v:textbox inset="0,0,0,0"/>
                    </v:rect>
                  </w:pict>
                </mc:Fallback>
              </mc:AlternateContent>
            </w:r>
            <w:r w:rsidR="0040272B">
              <w:rPr>
                <w:rFonts w:ascii="Times New Roman" w:hAnsi="Times New Roman"/>
              </w:rPr>
              <w:t xml:space="preserve">      Yes          No    Date: </w:t>
            </w:r>
            <w:r w:rsidR="0040272B">
              <w:rPr>
                <w:rFonts w:ascii="Times New Roman" w:hAnsi="Times New Roman"/>
                <w:i/>
              </w:rPr>
              <w:t>dd.mm.yyyy</w:t>
            </w:r>
          </w:p>
        </w:tc>
        <w:tc>
          <w:tcPr>
            <w:tcW w:w="236" w:type="dxa"/>
            <w:vMerge/>
            <w:tcBorders>
              <w:left w:val="single" w:sz="4" w:space="0" w:color="000000"/>
              <w:right w:val="single" w:sz="4" w:space="0" w:color="000000"/>
            </w:tcBorders>
            <w:shd w:val="clear" w:color="auto" w:fill="auto"/>
            <w:tcMar>
              <w:top w:w="0" w:type="dxa"/>
              <w:left w:w="108" w:type="dxa"/>
              <w:bottom w:w="0" w:type="dxa"/>
              <w:right w:w="108" w:type="dxa"/>
            </w:tcMar>
          </w:tcPr>
          <w:p w14:paraId="02A2DC99" w14:textId="77777777" w:rsidR="00035340" w:rsidRDefault="00035340">
            <w:pPr>
              <w:pStyle w:val="BodyText"/>
              <w:rPr>
                <w:rFonts w:ascii="Times New Roman" w:hAnsi="Times New Roman"/>
              </w:rPr>
            </w:pPr>
          </w:p>
        </w:tc>
        <w:tc>
          <w:tcPr>
            <w:tcW w:w="4909"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57874" w14:textId="77777777" w:rsidR="00035340" w:rsidRDefault="0040272B">
            <w:pPr>
              <w:numPr>
                <w:ilvl w:val="0"/>
                <w:numId w:val="5"/>
              </w:numPr>
              <w:ind w:left="342"/>
              <w:rPr>
                <w:sz w:val="20"/>
                <w:szCs w:val="20"/>
                <w:lang w:val="en-GB"/>
              </w:rPr>
            </w:pPr>
            <w:r>
              <w:rPr>
                <w:sz w:val="20"/>
                <w:szCs w:val="20"/>
                <w:lang w:val="en-GB"/>
              </w:rPr>
              <w:t xml:space="preserve">Name: </w:t>
            </w:r>
            <w:r w:rsidR="00BD2D6A">
              <w:rPr>
                <w:sz w:val="20"/>
                <w:szCs w:val="20"/>
                <w:lang w:val="en-GB"/>
              </w:rPr>
              <w:t>Reuben Summerlin</w:t>
            </w:r>
          </w:p>
          <w:p w14:paraId="301ACDB0" w14:textId="77777777" w:rsidR="00035340" w:rsidRDefault="00BD2D6A">
            <w:pPr>
              <w:numPr>
                <w:ilvl w:val="0"/>
                <w:numId w:val="5"/>
              </w:numPr>
              <w:ind w:left="342"/>
              <w:rPr>
                <w:sz w:val="20"/>
                <w:szCs w:val="20"/>
                <w:lang w:val="en-GB"/>
              </w:rPr>
            </w:pPr>
            <w:r>
              <w:rPr>
                <w:sz w:val="20"/>
                <w:szCs w:val="20"/>
                <w:lang w:val="en-GB"/>
              </w:rPr>
              <w:t>Title: Regional</w:t>
            </w:r>
            <w:r w:rsidR="0040272B">
              <w:rPr>
                <w:sz w:val="20"/>
                <w:szCs w:val="20"/>
                <w:lang w:val="en-GB"/>
              </w:rPr>
              <w:t xml:space="preserve">  Technical Advisor</w:t>
            </w:r>
          </w:p>
          <w:p w14:paraId="0F51B7BA" w14:textId="77777777" w:rsidR="00035340" w:rsidRDefault="0040272B">
            <w:pPr>
              <w:numPr>
                <w:ilvl w:val="0"/>
                <w:numId w:val="5"/>
              </w:numPr>
              <w:ind w:left="342"/>
              <w:rPr>
                <w:sz w:val="20"/>
                <w:szCs w:val="20"/>
                <w:lang w:val="en-GB"/>
              </w:rPr>
            </w:pPr>
            <w:r>
              <w:rPr>
                <w:sz w:val="20"/>
                <w:szCs w:val="20"/>
                <w:lang w:val="en-GB"/>
              </w:rPr>
              <w:t>Participating Organization (Lead): UNCDF</w:t>
            </w:r>
          </w:p>
          <w:p w14:paraId="4D02056E" w14:textId="77777777" w:rsidR="00035340" w:rsidRDefault="0040272B" w:rsidP="00BD2D6A">
            <w:pPr>
              <w:pStyle w:val="BodyText"/>
              <w:numPr>
                <w:ilvl w:val="0"/>
                <w:numId w:val="5"/>
              </w:numPr>
              <w:spacing w:after="120"/>
              <w:ind w:left="342"/>
              <w:jc w:val="both"/>
            </w:pPr>
            <w:r>
              <w:rPr>
                <w:rFonts w:ascii="Times New Roman" w:hAnsi="Times New Roman"/>
              </w:rPr>
              <w:t xml:space="preserve">Email address: </w:t>
            </w:r>
            <w:r w:rsidR="00BD2D6A">
              <w:rPr>
                <w:rFonts w:ascii="Times New Roman" w:hAnsi="Times New Roman"/>
              </w:rPr>
              <w:t>reuben.summerlin</w:t>
            </w:r>
            <w:r>
              <w:rPr>
                <w:rFonts w:ascii="Times New Roman" w:hAnsi="Times New Roman"/>
              </w:rPr>
              <w:t>@uncdf.org</w:t>
            </w:r>
          </w:p>
        </w:tc>
      </w:tr>
    </w:tbl>
    <w:p w14:paraId="7E22DEDE" w14:textId="77777777" w:rsidR="00035340" w:rsidRDefault="00035340">
      <w:pPr>
        <w:pageBreakBefore/>
      </w:pPr>
    </w:p>
    <w:tbl>
      <w:tblPr>
        <w:tblW w:w="8898" w:type="dxa"/>
        <w:tblInd w:w="570" w:type="dxa"/>
        <w:tblCellMar>
          <w:left w:w="10" w:type="dxa"/>
          <w:right w:w="10" w:type="dxa"/>
        </w:tblCellMar>
        <w:tblLook w:val="0000" w:firstRow="0" w:lastRow="0" w:firstColumn="0" w:lastColumn="0" w:noHBand="0" w:noVBand="0"/>
      </w:tblPr>
      <w:tblGrid>
        <w:gridCol w:w="1440"/>
        <w:gridCol w:w="7458"/>
      </w:tblGrid>
      <w:tr w:rsidR="00035340" w14:paraId="3FE7DB23" w14:textId="77777777">
        <w:trPr>
          <w:trHeight w:val="255"/>
        </w:trPr>
        <w:tc>
          <w:tcPr>
            <w:tcW w:w="889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ACCDA85" w14:textId="77777777" w:rsidR="00035340" w:rsidRDefault="0040272B">
            <w:pPr>
              <w:jc w:val="center"/>
              <w:rPr>
                <w:b/>
                <w:bCs/>
                <w:sz w:val="22"/>
                <w:szCs w:val="22"/>
              </w:rPr>
            </w:pPr>
            <w:r>
              <w:rPr>
                <w:b/>
                <w:bCs/>
                <w:sz w:val="22"/>
                <w:szCs w:val="22"/>
              </w:rPr>
              <w:t>Abbreviations and Acronyms</w:t>
            </w:r>
          </w:p>
        </w:tc>
      </w:tr>
      <w:tr w:rsidR="00035340" w14:paraId="0AB2AA71"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E97BF" w14:textId="77777777" w:rsidR="00035340" w:rsidRDefault="0040272B">
            <w:pPr>
              <w:rPr>
                <w:sz w:val="22"/>
                <w:szCs w:val="22"/>
              </w:rPr>
            </w:pPr>
            <w:r>
              <w:rPr>
                <w:sz w:val="22"/>
                <w:szCs w:val="22"/>
              </w:rPr>
              <w:t>ADB</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5CA03F8B" w14:textId="77777777" w:rsidR="00035340" w:rsidRDefault="0040272B">
            <w:pPr>
              <w:jc w:val="both"/>
              <w:rPr>
                <w:sz w:val="22"/>
                <w:szCs w:val="22"/>
              </w:rPr>
            </w:pPr>
            <w:r>
              <w:rPr>
                <w:sz w:val="22"/>
                <w:szCs w:val="22"/>
              </w:rPr>
              <w:t>Asian Development Bank</w:t>
            </w:r>
          </w:p>
        </w:tc>
      </w:tr>
      <w:tr w:rsidR="00035340" w14:paraId="2FF43636"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15698" w14:textId="77777777" w:rsidR="00035340" w:rsidRDefault="0040272B">
            <w:pPr>
              <w:rPr>
                <w:sz w:val="22"/>
                <w:szCs w:val="22"/>
              </w:rPr>
            </w:pPr>
            <w:r>
              <w:rPr>
                <w:sz w:val="22"/>
                <w:szCs w:val="22"/>
              </w:rPr>
              <w:t>AFA</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7CA3B8C4" w14:textId="77777777" w:rsidR="00035340" w:rsidRDefault="0040272B">
            <w:pPr>
              <w:jc w:val="both"/>
              <w:rPr>
                <w:sz w:val="22"/>
                <w:szCs w:val="22"/>
              </w:rPr>
            </w:pPr>
            <w:r>
              <w:rPr>
                <w:sz w:val="22"/>
                <w:szCs w:val="22"/>
              </w:rPr>
              <w:t>National Administration/Finance Associate</w:t>
            </w:r>
          </w:p>
        </w:tc>
      </w:tr>
      <w:tr w:rsidR="00035340" w14:paraId="259F89D3"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07B86" w14:textId="77777777" w:rsidR="00035340" w:rsidRDefault="0040272B">
            <w:pPr>
              <w:rPr>
                <w:sz w:val="22"/>
                <w:szCs w:val="22"/>
              </w:rPr>
            </w:pPr>
            <w:r>
              <w:rPr>
                <w:sz w:val="22"/>
                <w:szCs w:val="22"/>
              </w:rPr>
              <w:t>AFI</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471FAF94" w14:textId="77777777" w:rsidR="00035340" w:rsidRDefault="0040272B">
            <w:pPr>
              <w:jc w:val="both"/>
              <w:rPr>
                <w:sz w:val="22"/>
                <w:szCs w:val="22"/>
              </w:rPr>
            </w:pPr>
            <w:r>
              <w:rPr>
                <w:sz w:val="22"/>
                <w:szCs w:val="22"/>
              </w:rPr>
              <w:t>Alliance for Financial Inclusion</w:t>
            </w:r>
          </w:p>
        </w:tc>
      </w:tr>
      <w:tr w:rsidR="00035340" w14:paraId="120F2B49"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71AF2" w14:textId="77777777" w:rsidR="00035340" w:rsidRDefault="0040272B">
            <w:pPr>
              <w:rPr>
                <w:sz w:val="22"/>
                <w:szCs w:val="22"/>
              </w:rPr>
            </w:pPr>
            <w:r>
              <w:rPr>
                <w:sz w:val="22"/>
                <w:szCs w:val="22"/>
              </w:rPr>
              <w:t>AMFITIL</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1851B811" w14:textId="77777777" w:rsidR="00035340" w:rsidRDefault="0040272B">
            <w:pPr>
              <w:jc w:val="both"/>
              <w:rPr>
                <w:sz w:val="22"/>
                <w:szCs w:val="22"/>
              </w:rPr>
            </w:pPr>
            <w:r>
              <w:rPr>
                <w:sz w:val="22"/>
                <w:szCs w:val="22"/>
              </w:rPr>
              <w:t>Association of Microfinance Institutions of Timor-Leste</w:t>
            </w:r>
          </w:p>
        </w:tc>
      </w:tr>
      <w:tr w:rsidR="00035340" w14:paraId="2DB23F10"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C5174" w14:textId="77777777" w:rsidR="00035340" w:rsidRDefault="0040272B">
            <w:pPr>
              <w:rPr>
                <w:sz w:val="22"/>
                <w:szCs w:val="22"/>
              </w:rPr>
            </w:pPr>
            <w:r>
              <w:rPr>
                <w:sz w:val="22"/>
                <w:szCs w:val="22"/>
              </w:rPr>
              <w:t>BASIX</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6CCDC959" w14:textId="77777777" w:rsidR="00035340" w:rsidRDefault="0040272B">
            <w:pPr>
              <w:jc w:val="both"/>
              <w:rPr>
                <w:sz w:val="22"/>
                <w:szCs w:val="22"/>
              </w:rPr>
            </w:pPr>
            <w:r>
              <w:rPr>
                <w:sz w:val="22"/>
                <w:szCs w:val="22"/>
              </w:rPr>
              <w:t>Bhartiya Samruddhi Investments and Consulting Services Ltd.</w:t>
            </w:r>
          </w:p>
        </w:tc>
      </w:tr>
      <w:tr w:rsidR="00035340" w14:paraId="79166A1D"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A19A9" w14:textId="77777777" w:rsidR="00035340" w:rsidRDefault="0040272B">
            <w:pPr>
              <w:rPr>
                <w:sz w:val="22"/>
                <w:szCs w:val="22"/>
              </w:rPr>
            </w:pPr>
            <w:r>
              <w:rPr>
                <w:sz w:val="22"/>
                <w:szCs w:val="22"/>
              </w:rPr>
              <w:t>BCTL</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2C2741DC" w14:textId="77777777" w:rsidR="00035340" w:rsidRPr="00A67A87" w:rsidRDefault="0040272B">
            <w:pPr>
              <w:jc w:val="both"/>
            </w:pPr>
            <w:r w:rsidRPr="00A67A87">
              <w:rPr>
                <w:sz w:val="22"/>
                <w:szCs w:val="22"/>
              </w:rPr>
              <w:t>Banco Central de Timor-Leste</w:t>
            </w:r>
            <w:r w:rsidRPr="00A67A87">
              <w:rPr>
                <w:i/>
                <w:sz w:val="22"/>
                <w:szCs w:val="22"/>
              </w:rPr>
              <w:t xml:space="preserve">, formerly </w:t>
            </w:r>
            <w:r w:rsidR="00A67A87" w:rsidRPr="00A67A87">
              <w:rPr>
                <w:i/>
                <w:sz w:val="22"/>
                <w:szCs w:val="22"/>
              </w:rPr>
              <w:t>Banking and Payments Authority</w:t>
            </w:r>
          </w:p>
        </w:tc>
      </w:tr>
      <w:tr w:rsidR="00035340" w14:paraId="5C6350E9" w14:textId="77777777">
        <w:trPr>
          <w:trHeight w:val="255"/>
        </w:trPr>
        <w:tc>
          <w:tcPr>
            <w:tcW w:w="144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BF1C887" w14:textId="77777777" w:rsidR="00035340" w:rsidRDefault="0040272B">
            <w:pPr>
              <w:rPr>
                <w:sz w:val="22"/>
                <w:szCs w:val="22"/>
              </w:rPr>
            </w:pPr>
            <w:r>
              <w:rPr>
                <w:sz w:val="22"/>
                <w:szCs w:val="22"/>
              </w:rPr>
              <w:t>BNCTL</w:t>
            </w:r>
          </w:p>
        </w:tc>
        <w:tc>
          <w:tcPr>
            <w:tcW w:w="745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6D5C2" w14:textId="77777777" w:rsidR="00035340" w:rsidRDefault="0040272B">
            <w:pPr>
              <w:jc w:val="both"/>
            </w:pPr>
            <w:r>
              <w:rPr>
                <w:sz w:val="22"/>
                <w:szCs w:val="22"/>
              </w:rPr>
              <w:t xml:space="preserve">National Commercial Bank of Timor-Leste, </w:t>
            </w:r>
            <w:r>
              <w:rPr>
                <w:i/>
                <w:sz w:val="22"/>
                <w:szCs w:val="22"/>
              </w:rPr>
              <w:t>formerly IMfTL</w:t>
            </w:r>
          </w:p>
        </w:tc>
      </w:tr>
      <w:tr w:rsidR="00035340" w14:paraId="5C970FEA"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3E7E3" w14:textId="77777777" w:rsidR="00035340" w:rsidRDefault="0040272B">
            <w:pPr>
              <w:rPr>
                <w:sz w:val="22"/>
                <w:szCs w:val="22"/>
              </w:rPr>
            </w:pPr>
            <w:r>
              <w:rPr>
                <w:sz w:val="22"/>
                <w:szCs w:val="22"/>
              </w:rPr>
              <w:t>CTA</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2183E93A" w14:textId="77777777" w:rsidR="00035340" w:rsidRDefault="0040272B">
            <w:pPr>
              <w:jc w:val="both"/>
              <w:rPr>
                <w:sz w:val="22"/>
                <w:szCs w:val="22"/>
              </w:rPr>
            </w:pPr>
            <w:r>
              <w:rPr>
                <w:sz w:val="22"/>
                <w:szCs w:val="22"/>
              </w:rPr>
              <w:t>Chief Technical Adviser</w:t>
            </w:r>
          </w:p>
        </w:tc>
      </w:tr>
      <w:tr w:rsidR="00035340" w14:paraId="2B506C92"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A668A" w14:textId="77777777" w:rsidR="00035340" w:rsidRDefault="0040272B">
            <w:pPr>
              <w:rPr>
                <w:sz w:val="22"/>
                <w:szCs w:val="22"/>
              </w:rPr>
            </w:pPr>
            <w:r>
              <w:rPr>
                <w:sz w:val="22"/>
                <w:szCs w:val="22"/>
              </w:rPr>
              <w:t>CUFA</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034C9082" w14:textId="77777777" w:rsidR="00035340" w:rsidRDefault="0040272B">
            <w:pPr>
              <w:jc w:val="both"/>
              <w:rPr>
                <w:sz w:val="22"/>
                <w:szCs w:val="22"/>
              </w:rPr>
            </w:pPr>
            <w:r>
              <w:rPr>
                <w:sz w:val="22"/>
                <w:szCs w:val="22"/>
              </w:rPr>
              <w:t>Credit Union Foundation of Australia</w:t>
            </w:r>
          </w:p>
        </w:tc>
      </w:tr>
      <w:tr w:rsidR="00A67A87" w14:paraId="5566FC58"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1F05D" w14:textId="77777777" w:rsidR="00A67A87" w:rsidRDefault="00A67A87">
            <w:pPr>
              <w:rPr>
                <w:sz w:val="22"/>
                <w:szCs w:val="22"/>
              </w:rPr>
            </w:pPr>
            <w:r>
              <w:rPr>
                <w:sz w:val="22"/>
                <w:szCs w:val="22"/>
              </w:rPr>
              <w:t>DFAT</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134EE9AB" w14:textId="77777777" w:rsidR="00A67A87" w:rsidRPr="00A67A87" w:rsidRDefault="00A67A87">
            <w:pPr>
              <w:jc w:val="both"/>
              <w:rPr>
                <w:i/>
                <w:sz w:val="22"/>
                <w:szCs w:val="22"/>
              </w:rPr>
            </w:pPr>
            <w:r>
              <w:rPr>
                <w:sz w:val="22"/>
                <w:szCs w:val="22"/>
              </w:rPr>
              <w:t>Australian Department of Foreign Affairs and Trade</w:t>
            </w:r>
            <w:r>
              <w:rPr>
                <w:i/>
                <w:sz w:val="22"/>
                <w:szCs w:val="22"/>
              </w:rPr>
              <w:t>, recently absorbed AusAid</w:t>
            </w:r>
          </w:p>
        </w:tc>
      </w:tr>
      <w:tr w:rsidR="00035340" w14:paraId="2A6A48CE"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B90C9" w14:textId="77777777" w:rsidR="00035340" w:rsidRDefault="0040272B">
            <w:pPr>
              <w:rPr>
                <w:sz w:val="22"/>
                <w:szCs w:val="22"/>
              </w:rPr>
            </w:pPr>
            <w:r>
              <w:rPr>
                <w:sz w:val="22"/>
                <w:szCs w:val="22"/>
              </w:rPr>
              <w:t>FHM</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6A1E6089" w14:textId="77777777" w:rsidR="00035340" w:rsidRDefault="0040272B">
            <w:pPr>
              <w:jc w:val="both"/>
              <w:rPr>
                <w:sz w:val="22"/>
                <w:szCs w:val="22"/>
              </w:rPr>
            </w:pPr>
            <w:r>
              <w:rPr>
                <w:sz w:val="22"/>
                <w:szCs w:val="22"/>
              </w:rPr>
              <w:t>Federasaun Hanai Malu (Federation of Savings and Credit Cooperatives)</w:t>
            </w:r>
          </w:p>
        </w:tc>
      </w:tr>
      <w:tr w:rsidR="00035340" w14:paraId="4DB4771D"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7C2EE" w14:textId="77777777" w:rsidR="00035340" w:rsidRDefault="0040272B">
            <w:pPr>
              <w:rPr>
                <w:sz w:val="22"/>
                <w:szCs w:val="22"/>
              </w:rPr>
            </w:pPr>
            <w:r>
              <w:rPr>
                <w:sz w:val="22"/>
                <w:szCs w:val="22"/>
              </w:rPr>
              <w:t>FSPs</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6F7DF1DC" w14:textId="77777777" w:rsidR="00035340" w:rsidRDefault="0040272B">
            <w:pPr>
              <w:jc w:val="both"/>
              <w:rPr>
                <w:sz w:val="22"/>
                <w:szCs w:val="22"/>
              </w:rPr>
            </w:pPr>
            <w:r>
              <w:rPr>
                <w:sz w:val="22"/>
                <w:szCs w:val="22"/>
              </w:rPr>
              <w:t>Financial Services Providers</w:t>
            </w:r>
          </w:p>
        </w:tc>
      </w:tr>
      <w:tr w:rsidR="00035340" w14:paraId="33563F4F"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A667C" w14:textId="77777777" w:rsidR="00035340" w:rsidRDefault="0040272B">
            <w:pPr>
              <w:rPr>
                <w:sz w:val="22"/>
                <w:szCs w:val="22"/>
              </w:rPr>
            </w:pPr>
            <w:r>
              <w:rPr>
                <w:sz w:val="22"/>
                <w:szCs w:val="22"/>
              </w:rPr>
              <w:t>FSS</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044A5973" w14:textId="77777777" w:rsidR="00035340" w:rsidRDefault="0040272B">
            <w:pPr>
              <w:jc w:val="both"/>
              <w:rPr>
                <w:sz w:val="22"/>
                <w:szCs w:val="22"/>
              </w:rPr>
            </w:pPr>
            <w:r>
              <w:rPr>
                <w:sz w:val="22"/>
                <w:szCs w:val="22"/>
              </w:rPr>
              <w:t>Financial Self-sufficiency ratio</w:t>
            </w:r>
          </w:p>
        </w:tc>
      </w:tr>
      <w:tr w:rsidR="00035340" w14:paraId="3015AB7D"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78BD3" w14:textId="77777777" w:rsidR="00035340" w:rsidRDefault="0040272B">
            <w:pPr>
              <w:rPr>
                <w:sz w:val="22"/>
                <w:szCs w:val="22"/>
              </w:rPr>
            </w:pPr>
            <w:r>
              <w:rPr>
                <w:sz w:val="22"/>
                <w:szCs w:val="22"/>
              </w:rPr>
              <w:t>GoTL</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184BD421" w14:textId="77777777" w:rsidR="00035340" w:rsidRDefault="0040272B">
            <w:pPr>
              <w:jc w:val="both"/>
              <w:rPr>
                <w:sz w:val="22"/>
                <w:szCs w:val="22"/>
              </w:rPr>
            </w:pPr>
            <w:r>
              <w:rPr>
                <w:sz w:val="22"/>
                <w:szCs w:val="22"/>
              </w:rPr>
              <w:t>Government of Timor-Leste</w:t>
            </w:r>
          </w:p>
        </w:tc>
      </w:tr>
      <w:tr w:rsidR="00035340" w14:paraId="4D1FF866"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0A869" w14:textId="77777777" w:rsidR="00035340" w:rsidRDefault="0040272B">
            <w:pPr>
              <w:rPr>
                <w:sz w:val="22"/>
                <w:szCs w:val="22"/>
              </w:rPr>
            </w:pPr>
            <w:r>
              <w:rPr>
                <w:sz w:val="22"/>
                <w:szCs w:val="22"/>
              </w:rPr>
              <w:t>HR</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7929A15A" w14:textId="77777777" w:rsidR="00035340" w:rsidRDefault="0040272B">
            <w:pPr>
              <w:jc w:val="both"/>
              <w:rPr>
                <w:sz w:val="22"/>
                <w:szCs w:val="22"/>
              </w:rPr>
            </w:pPr>
            <w:r>
              <w:rPr>
                <w:sz w:val="22"/>
                <w:szCs w:val="22"/>
              </w:rPr>
              <w:t>Human resources</w:t>
            </w:r>
          </w:p>
        </w:tc>
      </w:tr>
      <w:tr w:rsidR="00035340" w14:paraId="3FEAF2EE"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940E3" w14:textId="77777777" w:rsidR="00035340" w:rsidRDefault="0040272B">
            <w:pPr>
              <w:rPr>
                <w:sz w:val="22"/>
                <w:szCs w:val="22"/>
              </w:rPr>
            </w:pPr>
            <w:r>
              <w:rPr>
                <w:sz w:val="22"/>
                <w:szCs w:val="22"/>
              </w:rPr>
              <w:t>IFC</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528B2A84" w14:textId="77777777" w:rsidR="00035340" w:rsidRDefault="0040272B">
            <w:pPr>
              <w:jc w:val="both"/>
              <w:rPr>
                <w:sz w:val="22"/>
                <w:szCs w:val="22"/>
              </w:rPr>
            </w:pPr>
            <w:r>
              <w:rPr>
                <w:sz w:val="22"/>
                <w:szCs w:val="22"/>
              </w:rPr>
              <w:t>International Finance Corporation</w:t>
            </w:r>
          </w:p>
        </w:tc>
      </w:tr>
      <w:tr w:rsidR="00035340" w14:paraId="76428F85"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65A4C" w14:textId="77777777" w:rsidR="00035340" w:rsidRDefault="0040272B">
            <w:pPr>
              <w:rPr>
                <w:sz w:val="22"/>
                <w:szCs w:val="22"/>
              </w:rPr>
            </w:pPr>
            <w:r>
              <w:rPr>
                <w:sz w:val="22"/>
                <w:szCs w:val="22"/>
              </w:rPr>
              <w:t>ILO</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5E72D42C" w14:textId="77777777" w:rsidR="00035340" w:rsidRDefault="0040272B">
            <w:pPr>
              <w:jc w:val="both"/>
              <w:rPr>
                <w:sz w:val="22"/>
                <w:szCs w:val="22"/>
                <w:lang w:val="es-MX"/>
              </w:rPr>
            </w:pPr>
            <w:r>
              <w:rPr>
                <w:sz w:val="22"/>
                <w:szCs w:val="22"/>
                <w:lang w:val="es-MX"/>
              </w:rPr>
              <w:t>International Labour Organization</w:t>
            </w:r>
          </w:p>
        </w:tc>
      </w:tr>
      <w:tr w:rsidR="00035340" w:rsidRPr="00FA0C50" w14:paraId="7DB1B636"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8E4F6" w14:textId="77777777" w:rsidR="00035340" w:rsidRDefault="0040272B">
            <w:pPr>
              <w:rPr>
                <w:sz w:val="22"/>
                <w:szCs w:val="22"/>
              </w:rPr>
            </w:pPr>
            <w:r>
              <w:rPr>
                <w:sz w:val="22"/>
                <w:szCs w:val="22"/>
              </w:rPr>
              <w:t>IMfTL</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08C4B71E" w14:textId="77777777" w:rsidR="00035340" w:rsidRPr="00604875" w:rsidRDefault="0040272B">
            <w:pPr>
              <w:jc w:val="both"/>
              <w:rPr>
                <w:lang w:val="fr-FR"/>
              </w:rPr>
            </w:pPr>
            <w:r>
              <w:rPr>
                <w:sz w:val="22"/>
                <w:szCs w:val="22"/>
                <w:lang w:val="es-MX"/>
              </w:rPr>
              <w:t>Instituicao de Microfinancas de Timor-Leste</w:t>
            </w:r>
          </w:p>
        </w:tc>
      </w:tr>
      <w:tr w:rsidR="00035340" w14:paraId="05659668"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83E4A" w14:textId="77777777" w:rsidR="00035340" w:rsidRDefault="0040272B">
            <w:pPr>
              <w:rPr>
                <w:sz w:val="22"/>
                <w:szCs w:val="22"/>
              </w:rPr>
            </w:pPr>
            <w:r>
              <w:rPr>
                <w:sz w:val="22"/>
                <w:szCs w:val="22"/>
              </w:rPr>
              <w:t>INFUSE</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426A5C59" w14:textId="77777777" w:rsidR="00035340" w:rsidRDefault="0040272B">
            <w:pPr>
              <w:jc w:val="both"/>
              <w:rPr>
                <w:sz w:val="22"/>
                <w:szCs w:val="22"/>
              </w:rPr>
            </w:pPr>
            <w:r>
              <w:rPr>
                <w:sz w:val="22"/>
                <w:szCs w:val="22"/>
              </w:rPr>
              <w:t>Inclusive Finance for the Under-Served Economy</w:t>
            </w:r>
          </w:p>
        </w:tc>
      </w:tr>
      <w:tr w:rsidR="00035340" w14:paraId="1D7B88D9"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7BF9E" w14:textId="77777777" w:rsidR="00035340" w:rsidRDefault="0040272B">
            <w:pPr>
              <w:rPr>
                <w:sz w:val="22"/>
                <w:szCs w:val="22"/>
              </w:rPr>
            </w:pPr>
            <w:r>
              <w:rPr>
                <w:sz w:val="22"/>
                <w:szCs w:val="22"/>
              </w:rPr>
              <w:t>MC</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4C8ECDD7" w14:textId="77777777" w:rsidR="00035340" w:rsidRDefault="0040272B">
            <w:pPr>
              <w:jc w:val="both"/>
              <w:rPr>
                <w:sz w:val="22"/>
                <w:szCs w:val="22"/>
              </w:rPr>
            </w:pPr>
            <w:r>
              <w:rPr>
                <w:sz w:val="22"/>
                <w:szCs w:val="22"/>
              </w:rPr>
              <w:t>Mercy Corps</w:t>
            </w:r>
          </w:p>
        </w:tc>
      </w:tr>
      <w:tr w:rsidR="00035340" w14:paraId="6F413CA6"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DBB35" w14:textId="77777777" w:rsidR="00035340" w:rsidRDefault="0040272B">
            <w:pPr>
              <w:rPr>
                <w:sz w:val="22"/>
                <w:szCs w:val="22"/>
              </w:rPr>
            </w:pPr>
            <w:r>
              <w:rPr>
                <w:sz w:val="22"/>
                <w:szCs w:val="22"/>
              </w:rPr>
              <w:t>MCIE</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0643B9F2" w14:textId="77777777" w:rsidR="00035340" w:rsidRDefault="0040272B">
            <w:pPr>
              <w:jc w:val="both"/>
              <w:rPr>
                <w:sz w:val="22"/>
                <w:szCs w:val="22"/>
              </w:rPr>
            </w:pPr>
            <w:r>
              <w:rPr>
                <w:sz w:val="22"/>
                <w:szCs w:val="22"/>
              </w:rPr>
              <w:t>Ministry of Commerce, Industry &amp; Environment</w:t>
            </w:r>
          </w:p>
        </w:tc>
      </w:tr>
      <w:tr w:rsidR="00035340" w14:paraId="7F40156C"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08DF0" w14:textId="77777777" w:rsidR="00035340" w:rsidRDefault="0040272B">
            <w:pPr>
              <w:rPr>
                <w:sz w:val="22"/>
                <w:szCs w:val="22"/>
              </w:rPr>
            </w:pPr>
            <w:r>
              <w:rPr>
                <w:sz w:val="22"/>
                <w:szCs w:val="22"/>
              </w:rPr>
              <w:t>MCIF</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5A11FDBD" w14:textId="77777777" w:rsidR="00035340" w:rsidRDefault="0040272B">
            <w:pPr>
              <w:jc w:val="both"/>
              <w:rPr>
                <w:sz w:val="22"/>
                <w:szCs w:val="22"/>
              </w:rPr>
            </w:pPr>
            <w:r>
              <w:rPr>
                <w:sz w:val="22"/>
                <w:szCs w:val="22"/>
              </w:rPr>
              <w:t>Management Committee for Inclusive Finance</w:t>
            </w:r>
          </w:p>
        </w:tc>
      </w:tr>
      <w:tr w:rsidR="00035340" w14:paraId="187036C5"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2C14D" w14:textId="77777777" w:rsidR="00035340" w:rsidRDefault="0040272B">
            <w:pPr>
              <w:rPr>
                <w:sz w:val="22"/>
                <w:szCs w:val="22"/>
              </w:rPr>
            </w:pPr>
            <w:r>
              <w:rPr>
                <w:sz w:val="22"/>
                <w:szCs w:val="22"/>
              </w:rPr>
              <w:t>MDG(s)</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2B3E848F" w14:textId="77777777" w:rsidR="00035340" w:rsidRDefault="0040272B">
            <w:pPr>
              <w:jc w:val="both"/>
              <w:rPr>
                <w:sz w:val="22"/>
                <w:szCs w:val="22"/>
              </w:rPr>
            </w:pPr>
            <w:r>
              <w:rPr>
                <w:sz w:val="22"/>
                <w:szCs w:val="22"/>
              </w:rPr>
              <w:t>Millennium Development Goal(s)</w:t>
            </w:r>
          </w:p>
        </w:tc>
      </w:tr>
      <w:tr w:rsidR="00035340" w14:paraId="619938F5"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EEB9" w14:textId="77777777" w:rsidR="00035340" w:rsidRDefault="0040272B">
            <w:pPr>
              <w:rPr>
                <w:sz w:val="22"/>
                <w:szCs w:val="22"/>
              </w:rPr>
            </w:pPr>
            <w:r>
              <w:rPr>
                <w:sz w:val="22"/>
                <w:szCs w:val="22"/>
              </w:rPr>
              <w:t>MPTF</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135FE9CE" w14:textId="77777777" w:rsidR="00035340" w:rsidRDefault="0040272B">
            <w:pPr>
              <w:jc w:val="both"/>
              <w:rPr>
                <w:sz w:val="22"/>
                <w:szCs w:val="22"/>
              </w:rPr>
            </w:pPr>
            <w:r>
              <w:rPr>
                <w:sz w:val="22"/>
                <w:szCs w:val="22"/>
              </w:rPr>
              <w:t>Multi-Partner Trust Fund</w:t>
            </w:r>
          </w:p>
        </w:tc>
      </w:tr>
      <w:tr w:rsidR="00035340" w14:paraId="10E0B4A0"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B06E3" w14:textId="77777777" w:rsidR="00035340" w:rsidRDefault="0040272B">
            <w:pPr>
              <w:rPr>
                <w:sz w:val="22"/>
                <w:szCs w:val="22"/>
              </w:rPr>
            </w:pPr>
            <w:r>
              <w:rPr>
                <w:sz w:val="22"/>
                <w:szCs w:val="22"/>
              </w:rPr>
              <w:t>MFIs</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63B42447" w14:textId="77777777" w:rsidR="00035340" w:rsidRDefault="0040272B">
            <w:pPr>
              <w:jc w:val="both"/>
              <w:rPr>
                <w:sz w:val="22"/>
                <w:szCs w:val="22"/>
              </w:rPr>
            </w:pPr>
            <w:r>
              <w:rPr>
                <w:sz w:val="22"/>
                <w:szCs w:val="22"/>
              </w:rPr>
              <w:t>Microfinance Institutions</w:t>
            </w:r>
          </w:p>
        </w:tc>
      </w:tr>
      <w:tr w:rsidR="00035340" w14:paraId="4112F275"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E2922" w14:textId="77777777" w:rsidR="00035340" w:rsidRDefault="0040272B">
            <w:pPr>
              <w:rPr>
                <w:sz w:val="22"/>
                <w:szCs w:val="22"/>
              </w:rPr>
            </w:pPr>
            <w:r>
              <w:rPr>
                <w:sz w:val="22"/>
                <w:szCs w:val="22"/>
              </w:rPr>
              <w:t>MIS</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5DFCAA02" w14:textId="77777777" w:rsidR="00035340" w:rsidRDefault="0040272B">
            <w:pPr>
              <w:jc w:val="both"/>
              <w:rPr>
                <w:sz w:val="22"/>
                <w:szCs w:val="22"/>
              </w:rPr>
            </w:pPr>
            <w:r>
              <w:rPr>
                <w:sz w:val="22"/>
                <w:szCs w:val="22"/>
              </w:rPr>
              <w:t>Management Information System</w:t>
            </w:r>
          </w:p>
        </w:tc>
      </w:tr>
      <w:tr w:rsidR="00035340" w14:paraId="39E590C9"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C4348" w14:textId="77777777" w:rsidR="00035340" w:rsidRDefault="0040272B">
            <w:pPr>
              <w:rPr>
                <w:sz w:val="22"/>
                <w:szCs w:val="22"/>
              </w:rPr>
            </w:pPr>
            <w:r>
              <w:rPr>
                <w:sz w:val="22"/>
                <w:szCs w:val="22"/>
              </w:rPr>
              <w:t>MoED</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18DDCD4B" w14:textId="77777777" w:rsidR="00E81F0D" w:rsidRDefault="0040272B">
            <w:pPr>
              <w:jc w:val="both"/>
              <w:rPr>
                <w:sz w:val="22"/>
                <w:szCs w:val="22"/>
              </w:rPr>
            </w:pPr>
            <w:r>
              <w:rPr>
                <w:sz w:val="22"/>
                <w:szCs w:val="22"/>
              </w:rPr>
              <w:t xml:space="preserve">Ministry of Economy and Development, </w:t>
            </w:r>
          </w:p>
          <w:p w14:paraId="10196933" w14:textId="77777777" w:rsidR="00035340" w:rsidRDefault="0040272B">
            <w:pPr>
              <w:jc w:val="both"/>
            </w:pPr>
            <w:r>
              <w:rPr>
                <w:i/>
                <w:sz w:val="22"/>
                <w:szCs w:val="22"/>
              </w:rPr>
              <w:t>dissolved after Parliamentary elections in July 2012</w:t>
            </w:r>
          </w:p>
        </w:tc>
      </w:tr>
      <w:tr w:rsidR="00035340" w14:paraId="3BD72A27"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3EE5" w14:textId="77777777" w:rsidR="00035340" w:rsidRDefault="0040272B">
            <w:pPr>
              <w:rPr>
                <w:sz w:val="22"/>
                <w:szCs w:val="22"/>
              </w:rPr>
            </w:pPr>
            <w:r>
              <w:rPr>
                <w:sz w:val="22"/>
                <w:szCs w:val="22"/>
              </w:rPr>
              <w:t>MR</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39A9A2CB" w14:textId="77777777" w:rsidR="00035340" w:rsidRDefault="0040272B">
            <w:pPr>
              <w:jc w:val="both"/>
              <w:rPr>
                <w:sz w:val="22"/>
                <w:szCs w:val="22"/>
              </w:rPr>
            </w:pPr>
            <w:r>
              <w:rPr>
                <w:sz w:val="22"/>
                <w:szCs w:val="22"/>
              </w:rPr>
              <w:t>Moris Rasik</w:t>
            </w:r>
          </w:p>
        </w:tc>
      </w:tr>
      <w:tr w:rsidR="00035340" w14:paraId="73B8361E"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8DCEE" w14:textId="77777777" w:rsidR="00035340" w:rsidRDefault="0040272B">
            <w:pPr>
              <w:rPr>
                <w:sz w:val="22"/>
                <w:szCs w:val="22"/>
              </w:rPr>
            </w:pPr>
            <w:r>
              <w:rPr>
                <w:sz w:val="22"/>
                <w:szCs w:val="22"/>
              </w:rPr>
              <w:t>NITL</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5FC06A3B" w14:textId="77777777" w:rsidR="00035340" w:rsidRDefault="0040272B">
            <w:pPr>
              <w:jc w:val="both"/>
              <w:rPr>
                <w:sz w:val="22"/>
                <w:szCs w:val="22"/>
              </w:rPr>
            </w:pPr>
            <w:r>
              <w:rPr>
                <w:sz w:val="22"/>
                <w:szCs w:val="22"/>
              </w:rPr>
              <w:t>National Insurance of Timor-Leste</w:t>
            </w:r>
          </w:p>
        </w:tc>
      </w:tr>
      <w:tr w:rsidR="00035340" w14:paraId="08DAD3C0"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1112F" w14:textId="77777777" w:rsidR="00035340" w:rsidRDefault="0040272B">
            <w:pPr>
              <w:rPr>
                <w:sz w:val="22"/>
                <w:szCs w:val="22"/>
              </w:rPr>
            </w:pPr>
            <w:r>
              <w:rPr>
                <w:sz w:val="22"/>
                <w:szCs w:val="22"/>
              </w:rPr>
              <w:t>NGO</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2CFD34AE" w14:textId="77777777" w:rsidR="00035340" w:rsidRDefault="0040272B">
            <w:pPr>
              <w:jc w:val="both"/>
              <w:rPr>
                <w:sz w:val="22"/>
                <w:szCs w:val="22"/>
              </w:rPr>
            </w:pPr>
            <w:r>
              <w:rPr>
                <w:sz w:val="22"/>
                <w:szCs w:val="22"/>
              </w:rPr>
              <w:t>Non-Government Organization</w:t>
            </w:r>
          </w:p>
        </w:tc>
      </w:tr>
      <w:tr w:rsidR="00035340" w14:paraId="5637C027"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A2CBD" w14:textId="77777777" w:rsidR="00035340" w:rsidRDefault="0040272B">
            <w:pPr>
              <w:rPr>
                <w:sz w:val="22"/>
                <w:szCs w:val="22"/>
              </w:rPr>
            </w:pPr>
            <w:r>
              <w:rPr>
                <w:sz w:val="22"/>
                <w:szCs w:val="22"/>
              </w:rPr>
              <w:t>NPO</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11932D26" w14:textId="77777777" w:rsidR="00035340" w:rsidRDefault="0040272B">
            <w:pPr>
              <w:jc w:val="both"/>
              <w:rPr>
                <w:sz w:val="22"/>
                <w:szCs w:val="22"/>
              </w:rPr>
            </w:pPr>
            <w:r>
              <w:rPr>
                <w:sz w:val="22"/>
                <w:szCs w:val="22"/>
              </w:rPr>
              <w:t xml:space="preserve">National </w:t>
            </w:r>
            <w:r w:rsidR="007F214E">
              <w:rPr>
                <w:sz w:val="22"/>
                <w:szCs w:val="22"/>
              </w:rPr>
              <w:t>Programme</w:t>
            </w:r>
            <w:r>
              <w:rPr>
                <w:sz w:val="22"/>
                <w:szCs w:val="22"/>
              </w:rPr>
              <w:t xml:space="preserve"> Officer</w:t>
            </w:r>
          </w:p>
        </w:tc>
      </w:tr>
      <w:tr w:rsidR="00035340" w14:paraId="19B80814"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37E99" w14:textId="77777777" w:rsidR="00035340" w:rsidRDefault="0040272B">
            <w:pPr>
              <w:rPr>
                <w:sz w:val="22"/>
                <w:szCs w:val="22"/>
              </w:rPr>
            </w:pPr>
            <w:r>
              <w:rPr>
                <w:sz w:val="22"/>
                <w:szCs w:val="22"/>
              </w:rPr>
              <w:t>NPWG</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53AC72AC" w14:textId="77777777" w:rsidR="00035340" w:rsidRDefault="0040272B">
            <w:pPr>
              <w:jc w:val="both"/>
              <w:rPr>
                <w:sz w:val="22"/>
                <w:szCs w:val="22"/>
              </w:rPr>
            </w:pPr>
            <w:r>
              <w:rPr>
                <w:sz w:val="22"/>
                <w:szCs w:val="22"/>
              </w:rPr>
              <w:t>National Priority Working Group</w:t>
            </w:r>
          </w:p>
        </w:tc>
      </w:tr>
      <w:tr w:rsidR="00035340" w14:paraId="224DE124"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AA7B4" w14:textId="77777777" w:rsidR="00035340" w:rsidRDefault="0040272B">
            <w:pPr>
              <w:rPr>
                <w:sz w:val="22"/>
                <w:szCs w:val="22"/>
              </w:rPr>
            </w:pPr>
            <w:r>
              <w:rPr>
                <w:sz w:val="22"/>
                <w:szCs w:val="22"/>
              </w:rPr>
              <w:t>ODTI</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4DA08652" w14:textId="77777777" w:rsidR="00035340" w:rsidRDefault="0040272B">
            <w:pPr>
              <w:jc w:val="both"/>
              <w:rPr>
                <w:sz w:val="22"/>
                <w:szCs w:val="22"/>
              </w:rPr>
            </w:pPr>
            <w:r>
              <w:rPr>
                <w:sz w:val="22"/>
                <w:szCs w:val="22"/>
              </w:rPr>
              <w:t xml:space="preserve">Other Deposit-Taking Institution </w:t>
            </w:r>
          </w:p>
        </w:tc>
      </w:tr>
      <w:tr w:rsidR="00035340" w14:paraId="4BDFF5B8"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2E464" w14:textId="77777777" w:rsidR="00035340" w:rsidRDefault="0040272B">
            <w:pPr>
              <w:rPr>
                <w:sz w:val="22"/>
                <w:szCs w:val="22"/>
              </w:rPr>
            </w:pPr>
            <w:r>
              <w:rPr>
                <w:sz w:val="22"/>
                <w:szCs w:val="22"/>
              </w:rPr>
              <w:t>PAR</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6FC0A0A6" w14:textId="77777777" w:rsidR="00035340" w:rsidRDefault="0040272B">
            <w:pPr>
              <w:jc w:val="both"/>
              <w:rPr>
                <w:sz w:val="22"/>
                <w:szCs w:val="22"/>
              </w:rPr>
            </w:pPr>
            <w:r>
              <w:rPr>
                <w:sz w:val="22"/>
                <w:szCs w:val="22"/>
              </w:rPr>
              <w:t>Portfolio at Risk</w:t>
            </w:r>
          </w:p>
        </w:tc>
      </w:tr>
      <w:tr w:rsidR="00035340" w14:paraId="68721AD4"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25F98" w14:textId="77777777" w:rsidR="00035340" w:rsidRDefault="0040272B">
            <w:pPr>
              <w:jc w:val="both"/>
              <w:rPr>
                <w:sz w:val="22"/>
                <w:szCs w:val="22"/>
              </w:rPr>
            </w:pPr>
            <w:r>
              <w:rPr>
                <w:sz w:val="22"/>
                <w:szCs w:val="22"/>
              </w:rPr>
              <w:t>PBAs</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2C7A3C90" w14:textId="77777777" w:rsidR="00035340" w:rsidRDefault="0040272B">
            <w:pPr>
              <w:jc w:val="both"/>
              <w:rPr>
                <w:sz w:val="22"/>
                <w:szCs w:val="22"/>
              </w:rPr>
            </w:pPr>
            <w:r>
              <w:rPr>
                <w:sz w:val="22"/>
                <w:szCs w:val="22"/>
              </w:rPr>
              <w:t>Performance Based Agreements</w:t>
            </w:r>
          </w:p>
        </w:tc>
      </w:tr>
      <w:tr w:rsidR="00035340" w14:paraId="7D60E1AD"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31E5" w14:textId="77777777" w:rsidR="00035340" w:rsidRDefault="0040272B">
            <w:pPr>
              <w:rPr>
                <w:sz w:val="22"/>
                <w:szCs w:val="22"/>
              </w:rPr>
            </w:pPr>
            <w:r>
              <w:rPr>
                <w:sz w:val="22"/>
                <w:szCs w:val="22"/>
              </w:rPr>
              <w:t>PIU</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43931A33" w14:textId="77777777" w:rsidR="00035340" w:rsidRDefault="007F214E">
            <w:pPr>
              <w:jc w:val="both"/>
              <w:rPr>
                <w:sz w:val="22"/>
                <w:szCs w:val="22"/>
              </w:rPr>
            </w:pPr>
            <w:r>
              <w:rPr>
                <w:sz w:val="22"/>
                <w:szCs w:val="22"/>
              </w:rPr>
              <w:t>Programme</w:t>
            </w:r>
            <w:r w:rsidR="0040272B">
              <w:rPr>
                <w:sz w:val="22"/>
                <w:szCs w:val="22"/>
              </w:rPr>
              <w:t xml:space="preserve"> Implementation Unit</w:t>
            </w:r>
          </w:p>
        </w:tc>
      </w:tr>
      <w:tr w:rsidR="00035340" w14:paraId="03EDB570"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EB12C" w14:textId="77777777" w:rsidR="00035340" w:rsidRDefault="0040272B">
            <w:pPr>
              <w:rPr>
                <w:sz w:val="22"/>
                <w:szCs w:val="22"/>
              </w:rPr>
            </w:pPr>
            <w:r>
              <w:rPr>
                <w:sz w:val="22"/>
                <w:szCs w:val="22"/>
              </w:rPr>
              <w:t>PFIP</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169F9A43" w14:textId="77777777" w:rsidR="00035340" w:rsidRDefault="0040272B">
            <w:pPr>
              <w:jc w:val="both"/>
              <w:rPr>
                <w:sz w:val="22"/>
                <w:szCs w:val="22"/>
              </w:rPr>
            </w:pPr>
            <w:r>
              <w:rPr>
                <w:sz w:val="22"/>
                <w:szCs w:val="22"/>
              </w:rPr>
              <w:t xml:space="preserve">Pacific Financial Inclusion </w:t>
            </w:r>
            <w:r w:rsidR="007F214E">
              <w:rPr>
                <w:sz w:val="22"/>
                <w:szCs w:val="22"/>
              </w:rPr>
              <w:t>Programme</w:t>
            </w:r>
          </w:p>
        </w:tc>
      </w:tr>
      <w:tr w:rsidR="00035340" w14:paraId="47CB71E4"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64CE6" w14:textId="77777777" w:rsidR="00035340" w:rsidRDefault="0040272B">
            <w:pPr>
              <w:rPr>
                <w:sz w:val="22"/>
                <w:szCs w:val="22"/>
              </w:rPr>
            </w:pPr>
            <w:r>
              <w:rPr>
                <w:sz w:val="22"/>
                <w:szCs w:val="22"/>
              </w:rPr>
              <w:t>PPI</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76D0EAC5" w14:textId="77777777" w:rsidR="00035340" w:rsidRDefault="0040272B">
            <w:pPr>
              <w:jc w:val="both"/>
              <w:rPr>
                <w:sz w:val="22"/>
                <w:szCs w:val="22"/>
              </w:rPr>
            </w:pPr>
            <w:r>
              <w:rPr>
                <w:sz w:val="22"/>
                <w:szCs w:val="22"/>
              </w:rPr>
              <w:t>Progress out of Poverty Index</w:t>
            </w:r>
          </w:p>
        </w:tc>
      </w:tr>
      <w:tr w:rsidR="00817BC9" w14:paraId="0DD2B922"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0813" w14:textId="77777777" w:rsidR="00817BC9" w:rsidRDefault="00817BC9">
            <w:pPr>
              <w:rPr>
                <w:sz w:val="22"/>
                <w:szCs w:val="22"/>
              </w:rPr>
            </w:pPr>
            <w:r>
              <w:rPr>
                <w:sz w:val="22"/>
                <w:szCs w:val="22"/>
              </w:rPr>
              <w:t>SGsTWG</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548BAF59" w14:textId="77777777" w:rsidR="00817BC9" w:rsidRDefault="00817BC9">
            <w:pPr>
              <w:jc w:val="both"/>
              <w:rPr>
                <w:sz w:val="22"/>
                <w:szCs w:val="22"/>
              </w:rPr>
            </w:pPr>
            <w:r>
              <w:rPr>
                <w:sz w:val="22"/>
                <w:szCs w:val="22"/>
              </w:rPr>
              <w:t>Savings Groups Technical Working Group</w:t>
            </w:r>
          </w:p>
        </w:tc>
      </w:tr>
      <w:tr w:rsidR="00035340" w14:paraId="77177049"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511FC" w14:textId="77777777" w:rsidR="00035340" w:rsidRDefault="0040272B">
            <w:pPr>
              <w:rPr>
                <w:sz w:val="22"/>
                <w:szCs w:val="22"/>
              </w:rPr>
            </w:pPr>
            <w:r>
              <w:rPr>
                <w:sz w:val="22"/>
                <w:szCs w:val="22"/>
              </w:rPr>
              <w:t>TA</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0B5FD913" w14:textId="77777777" w:rsidR="00035340" w:rsidRDefault="0040272B">
            <w:pPr>
              <w:jc w:val="both"/>
              <w:rPr>
                <w:sz w:val="22"/>
                <w:szCs w:val="22"/>
              </w:rPr>
            </w:pPr>
            <w:r>
              <w:rPr>
                <w:sz w:val="22"/>
                <w:szCs w:val="22"/>
              </w:rPr>
              <w:t>Technical Assistance/Assistant</w:t>
            </w:r>
          </w:p>
        </w:tc>
      </w:tr>
      <w:tr w:rsidR="00035340" w14:paraId="4CFE22B7"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B9E2C" w14:textId="77777777" w:rsidR="00035340" w:rsidRDefault="0040272B">
            <w:pPr>
              <w:rPr>
                <w:sz w:val="22"/>
                <w:szCs w:val="22"/>
              </w:rPr>
            </w:pPr>
            <w:r>
              <w:rPr>
                <w:sz w:val="22"/>
                <w:szCs w:val="22"/>
              </w:rPr>
              <w:t>TRM</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5F2FEF59" w14:textId="77777777" w:rsidR="00035340" w:rsidRDefault="0040272B">
            <w:pPr>
              <w:jc w:val="both"/>
            </w:pPr>
            <w:r>
              <w:rPr>
                <w:sz w:val="22"/>
                <w:szCs w:val="22"/>
                <w:lang w:val="fr-FR"/>
              </w:rPr>
              <w:t xml:space="preserve">Tuba Rai Metin </w:t>
            </w:r>
          </w:p>
        </w:tc>
      </w:tr>
      <w:tr w:rsidR="00035340" w14:paraId="636190D3"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6AA36" w14:textId="77777777" w:rsidR="00035340" w:rsidRDefault="0040272B">
            <w:pPr>
              <w:rPr>
                <w:sz w:val="22"/>
                <w:szCs w:val="22"/>
              </w:rPr>
            </w:pPr>
            <w:r>
              <w:rPr>
                <w:sz w:val="22"/>
                <w:szCs w:val="22"/>
              </w:rPr>
              <w:t>TSPs</w:t>
            </w:r>
          </w:p>
        </w:tc>
        <w:tc>
          <w:tcPr>
            <w:tcW w:w="745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CAA63" w14:textId="77777777" w:rsidR="00035340" w:rsidRDefault="0040272B">
            <w:pPr>
              <w:jc w:val="both"/>
              <w:rPr>
                <w:sz w:val="22"/>
                <w:szCs w:val="22"/>
              </w:rPr>
            </w:pPr>
            <w:r>
              <w:rPr>
                <w:sz w:val="22"/>
                <w:szCs w:val="22"/>
              </w:rPr>
              <w:t>Technical Service Providers</w:t>
            </w:r>
          </w:p>
        </w:tc>
      </w:tr>
      <w:tr w:rsidR="00035340" w14:paraId="32311892"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DC7F8" w14:textId="77777777" w:rsidR="00035340" w:rsidRDefault="0040272B">
            <w:pPr>
              <w:rPr>
                <w:sz w:val="22"/>
                <w:szCs w:val="22"/>
              </w:rPr>
            </w:pPr>
            <w:r>
              <w:rPr>
                <w:sz w:val="22"/>
                <w:szCs w:val="22"/>
              </w:rPr>
              <w:t>UNCDF</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12ED3C5B" w14:textId="77777777" w:rsidR="00035340" w:rsidRDefault="0040272B">
            <w:pPr>
              <w:jc w:val="both"/>
              <w:rPr>
                <w:sz w:val="22"/>
                <w:szCs w:val="22"/>
              </w:rPr>
            </w:pPr>
            <w:r>
              <w:rPr>
                <w:sz w:val="22"/>
                <w:szCs w:val="22"/>
              </w:rPr>
              <w:t>United Nations Capital Development Fund</w:t>
            </w:r>
          </w:p>
        </w:tc>
      </w:tr>
      <w:tr w:rsidR="00035340" w14:paraId="6063454E"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864A5" w14:textId="77777777" w:rsidR="00035340" w:rsidRDefault="0040272B">
            <w:pPr>
              <w:rPr>
                <w:sz w:val="22"/>
                <w:szCs w:val="22"/>
              </w:rPr>
            </w:pPr>
            <w:r>
              <w:rPr>
                <w:sz w:val="22"/>
                <w:szCs w:val="22"/>
              </w:rPr>
              <w:t>UNDAF</w:t>
            </w:r>
          </w:p>
        </w:tc>
        <w:tc>
          <w:tcPr>
            <w:tcW w:w="745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9CBFC" w14:textId="77777777" w:rsidR="00035340" w:rsidRDefault="0040272B">
            <w:pPr>
              <w:jc w:val="both"/>
              <w:rPr>
                <w:sz w:val="22"/>
                <w:szCs w:val="22"/>
              </w:rPr>
            </w:pPr>
            <w:r>
              <w:rPr>
                <w:sz w:val="22"/>
                <w:szCs w:val="22"/>
              </w:rPr>
              <w:t>United Nations Development Assistance Framework</w:t>
            </w:r>
          </w:p>
        </w:tc>
      </w:tr>
      <w:tr w:rsidR="00035340" w14:paraId="2A13E315"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6BB78" w14:textId="77777777" w:rsidR="00035340" w:rsidRDefault="0040272B">
            <w:pPr>
              <w:rPr>
                <w:sz w:val="22"/>
                <w:szCs w:val="22"/>
              </w:rPr>
            </w:pPr>
            <w:r>
              <w:rPr>
                <w:sz w:val="22"/>
                <w:szCs w:val="22"/>
              </w:rPr>
              <w:t>UNDP</w:t>
            </w:r>
          </w:p>
        </w:tc>
        <w:tc>
          <w:tcPr>
            <w:tcW w:w="745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2C749" w14:textId="77777777" w:rsidR="00035340" w:rsidRDefault="0040272B">
            <w:pPr>
              <w:jc w:val="both"/>
              <w:rPr>
                <w:sz w:val="22"/>
                <w:szCs w:val="22"/>
              </w:rPr>
            </w:pPr>
            <w:r>
              <w:rPr>
                <w:sz w:val="22"/>
                <w:szCs w:val="22"/>
              </w:rPr>
              <w:t xml:space="preserve">United Nations Development </w:t>
            </w:r>
            <w:r w:rsidR="007F214E">
              <w:rPr>
                <w:sz w:val="22"/>
                <w:szCs w:val="22"/>
              </w:rPr>
              <w:t>Programme</w:t>
            </w:r>
          </w:p>
        </w:tc>
      </w:tr>
    </w:tbl>
    <w:p w14:paraId="57FB72DF" w14:textId="77777777" w:rsidR="00035340" w:rsidRDefault="00035340"/>
    <w:p w14:paraId="6472B179" w14:textId="77777777" w:rsidR="00A67A87" w:rsidRDefault="00A67A87">
      <w:pPr>
        <w:suppressAutoHyphens w:val="0"/>
        <w:autoSpaceDN/>
        <w:textAlignment w:val="auto"/>
        <w:rPr>
          <w:rStyle w:val="Heading1Char"/>
          <w:rFonts w:ascii="Times New Roman" w:eastAsia="Calibri" w:hAnsi="Times New Roman" w:cs="Times New Roman"/>
          <w:sz w:val="28"/>
          <w:szCs w:val="28"/>
        </w:rPr>
      </w:pPr>
      <w:bookmarkStart w:id="21" w:name="_Toc249364482"/>
      <w:r>
        <w:rPr>
          <w:rStyle w:val="Heading1Char"/>
          <w:rFonts w:ascii="Times New Roman" w:hAnsi="Times New Roman" w:cs="Times New Roman"/>
          <w:sz w:val="28"/>
          <w:szCs w:val="28"/>
        </w:rPr>
        <w:br w:type="page"/>
      </w:r>
    </w:p>
    <w:p w14:paraId="1F0F4E58" w14:textId="77777777" w:rsidR="00035340" w:rsidRDefault="0040272B">
      <w:pPr>
        <w:pStyle w:val="NoSpacing"/>
        <w:jc w:val="center"/>
      </w:pPr>
      <w:r>
        <w:rPr>
          <w:rStyle w:val="Heading1Char"/>
          <w:rFonts w:ascii="Times New Roman" w:hAnsi="Times New Roman" w:cs="Times New Roman"/>
          <w:sz w:val="28"/>
          <w:szCs w:val="28"/>
        </w:rPr>
        <w:lastRenderedPageBreak/>
        <w:t>DEFINITIONS</w:t>
      </w:r>
    </w:p>
    <w:p w14:paraId="293D4236" w14:textId="77777777" w:rsidR="00035340" w:rsidRDefault="00035340">
      <w:pPr>
        <w:pStyle w:val="NoSpacing"/>
        <w:rPr>
          <w:rFonts w:ascii="Times New Roman" w:hAnsi="Times New Roman" w:cs="Times New Roman"/>
          <w:bCs/>
          <w:lang w:val="en-GB" w:eastAsia="ja-JP"/>
        </w:rPr>
      </w:pPr>
    </w:p>
    <w:p w14:paraId="2E21ECF5" w14:textId="77777777" w:rsidR="00035340" w:rsidRDefault="0040272B">
      <w:pPr>
        <w:pStyle w:val="NoSpacing"/>
        <w:rPr>
          <w:rFonts w:ascii="Times New Roman" w:hAnsi="Times New Roman" w:cs="Times New Roman"/>
          <w:bCs/>
          <w:sz w:val="24"/>
          <w:szCs w:val="24"/>
          <w:u w:val="single"/>
          <w:lang w:val="en-GB"/>
        </w:rPr>
      </w:pPr>
      <w:r>
        <w:rPr>
          <w:rFonts w:ascii="Times New Roman" w:hAnsi="Times New Roman" w:cs="Times New Roman"/>
          <w:bCs/>
          <w:sz w:val="24"/>
          <w:szCs w:val="24"/>
          <w:u w:val="single"/>
          <w:lang w:val="en-GB"/>
        </w:rPr>
        <w:t xml:space="preserve">Joint </w:t>
      </w:r>
      <w:r w:rsidR="007F214E">
        <w:rPr>
          <w:rFonts w:ascii="Times New Roman" w:hAnsi="Times New Roman" w:cs="Times New Roman"/>
          <w:bCs/>
          <w:sz w:val="24"/>
          <w:szCs w:val="24"/>
          <w:u w:val="single"/>
          <w:lang w:val="en-GB"/>
        </w:rPr>
        <w:t>Programme</w:t>
      </w:r>
    </w:p>
    <w:p w14:paraId="668C3696" w14:textId="77777777" w:rsidR="00035340" w:rsidRDefault="0040272B">
      <w:pPr>
        <w:pStyle w:val="NoSpacing"/>
        <w:jc w:val="both"/>
      </w:pPr>
      <w:r>
        <w:rPr>
          <w:rFonts w:ascii="Times New Roman" w:hAnsi="Times New Roman" w:cs="Times New Roman"/>
          <w:sz w:val="24"/>
          <w:szCs w:val="24"/>
          <w:lang w:val="en-GB"/>
        </w:rPr>
        <w:t xml:space="preserve">A set of activities contained in a common work plan and related budget, involving two or more UN organizations and (sub-) national partners. The work plan and budget forms part of a joint </w:t>
      </w:r>
      <w:r w:rsidR="007F214E">
        <w:rPr>
          <w:rFonts w:ascii="Times New Roman" w:hAnsi="Times New Roman" w:cs="Times New Roman"/>
          <w:sz w:val="24"/>
          <w:szCs w:val="24"/>
          <w:lang w:val="en-GB"/>
        </w:rPr>
        <w:t>programme</w:t>
      </w:r>
      <w:r>
        <w:rPr>
          <w:rFonts w:ascii="Times New Roman" w:hAnsi="Times New Roman" w:cs="Times New Roman"/>
          <w:sz w:val="24"/>
          <w:szCs w:val="24"/>
          <w:lang w:val="en-GB"/>
        </w:rPr>
        <w:t xml:space="preserve"> document, which also details roles and responsibilities of partners in coordinating and managing the joint activities. The joint </w:t>
      </w:r>
      <w:r w:rsidR="007F214E">
        <w:rPr>
          <w:rFonts w:ascii="Times New Roman" w:hAnsi="Times New Roman" w:cs="Times New Roman"/>
          <w:sz w:val="24"/>
          <w:szCs w:val="24"/>
          <w:lang w:val="en-GB"/>
        </w:rPr>
        <w:t>programme</w:t>
      </w:r>
      <w:r>
        <w:rPr>
          <w:rFonts w:ascii="Times New Roman" w:hAnsi="Times New Roman" w:cs="Times New Roman"/>
          <w:sz w:val="24"/>
          <w:szCs w:val="24"/>
          <w:lang w:val="en-GB"/>
        </w:rPr>
        <w:t xml:space="preserve"> document is signed by all participating organizations and (sub-) national partners.</w:t>
      </w:r>
    </w:p>
    <w:p w14:paraId="2C17128D" w14:textId="77777777" w:rsidR="00035340" w:rsidRDefault="00035340">
      <w:pPr>
        <w:pStyle w:val="NoSpacing"/>
        <w:jc w:val="both"/>
        <w:rPr>
          <w:rFonts w:ascii="Times New Roman" w:hAnsi="Times New Roman" w:cs="Times New Roman"/>
          <w:sz w:val="24"/>
          <w:szCs w:val="24"/>
          <w:lang w:val="en-GB"/>
        </w:rPr>
      </w:pPr>
    </w:p>
    <w:p w14:paraId="0C2F80F2" w14:textId="77777777" w:rsidR="00035340" w:rsidRDefault="0040272B">
      <w:pPr>
        <w:pStyle w:val="NoSpacing"/>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Donor Pledge</w:t>
      </w:r>
    </w:p>
    <w:p w14:paraId="15726F9A" w14:textId="77777777" w:rsidR="00035340" w:rsidRDefault="0040272B">
      <w:pPr>
        <w:pStyle w:val="NoSpacing"/>
        <w:jc w:val="both"/>
      </w:pPr>
      <w:r>
        <w:rPr>
          <w:rFonts w:ascii="Times New Roman" w:hAnsi="Times New Roman" w:cs="Times New Roman"/>
          <w:sz w:val="24"/>
          <w:szCs w:val="24"/>
          <w:lang w:val="en-GB"/>
        </w:rPr>
        <w:t xml:space="preserve">An amount indicated as a voluntary contribution by a donor.  Pledges are not included in the financial statements. Financial reports will report on legally binding donor commitments and deposits to the </w:t>
      </w:r>
      <w:r>
        <w:rPr>
          <w:rFonts w:ascii="Times New Roman" w:hAnsi="Times New Roman" w:cs="Times New Roman"/>
          <w:sz w:val="24"/>
          <w:szCs w:val="24"/>
          <w:lang w:val="en-GB" w:eastAsia="ja-JP"/>
        </w:rPr>
        <w:t>INFUSE Timor-Leste</w:t>
      </w:r>
      <w:r>
        <w:rPr>
          <w:rFonts w:ascii="Times New Roman" w:hAnsi="Times New Roman" w:cs="Times New Roman"/>
          <w:sz w:val="24"/>
          <w:szCs w:val="24"/>
          <w:lang w:val="en-GB"/>
        </w:rPr>
        <w:t>.</w:t>
      </w:r>
    </w:p>
    <w:p w14:paraId="62301673" w14:textId="77777777" w:rsidR="00035340" w:rsidRDefault="00035340">
      <w:pPr>
        <w:pStyle w:val="NoSpacing"/>
        <w:jc w:val="both"/>
        <w:rPr>
          <w:rFonts w:ascii="Times New Roman" w:hAnsi="Times New Roman" w:cs="Times New Roman"/>
          <w:sz w:val="24"/>
          <w:szCs w:val="24"/>
          <w:lang w:val="en-GB"/>
        </w:rPr>
      </w:pPr>
    </w:p>
    <w:p w14:paraId="69DA19C2" w14:textId="77777777" w:rsidR="00035340" w:rsidRDefault="0040272B">
      <w:pPr>
        <w:pStyle w:val="NoSpacing"/>
        <w:jc w:val="both"/>
        <w:rPr>
          <w:rFonts w:ascii="Times New Roman" w:hAnsi="Times New Roman" w:cs="Times New Roman"/>
          <w:bCs/>
          <w:sz w:val="24"/>
          <w:szCs w:val="24"/>
          <w:u w:val="single"/>
          <w:lang w:val="en-GB"/>
        </w:rPr>
      </w:pPr>
      <w:r>
        <w:rPr>
          <w:rFonts w:ascii="Times New Roman" w:hAnsi="Times New Roman" w:cs="Times New Roman"/>
          <w:bCs/>
          <w:sz w:val="24"/>
          <w:szCs w:val="24"/>
          <w:u w:val="single"/>
          <w:lang w:val="en-GB"/>
        </w:rPr>
        <w:t xml:space="preserve">Donor Commitment </w:t>
      </w:r>
    </w:p>
    <w:p w14:paraId="6F1B1B77" w14:textId="77777777" w:rsidR="00035340" w:rsidRDefault="0040272B">
      <w:pPr>
        <w:pStyle w:val="NoSpacing"/>
        <w:jc w:val="both"/>
      </w:pPr>
      <w:r>
        <w:rPr>
          <w:rFonts w:ascii="Times New Roman" w:hAnsi="Times New Roman" w:cs="Times New Roman"/>
          <w:sz w:val="24"/>
          <w:szCs w:val="24"/>
          <w:lang w:val="en-GB"/>
        </w:rPr>
        <w:t>A donor contribution as per signed Letter of Agreement</w:t>
      </w:r>
      <w:r>
        <w:rPr>
          <w:rFonts w:ascii="Times New Roman" w:hAnsi="Times New Roman" w:cs="Times New Roman"/>
          <w:sz w:val="24"/>
          <w:szCs w:val="24"/>
          <w:lang w:val="en-GB" w:eastAsia="ja-JP"/>
        </w:rPr>
        <w:t xml:space="preserve"> / Standard Administrative Agreement</w:t>
      </w:r>
      <w:r>
        <w:rPr>
          <w:rFonts w:ascii="Times New Roman" w:hAnsi="Times New Roman" w:cs="Times New Roman"/>
          <w:sz w:val="24"/>
          <w:szCs w:val="24"/>
          <w:lang w:val="en-GB"/>
        </w:rPr>
        <w:t xml:space="preserve"> with the UNDP Multi-Partner Trust Fund Office, in its capacity as the Administrative Agent of the </w:t>
      </w:r>
      <w:r>
        <w:rPr>
          <w:rFonts w:ascii="Times New Roman" w:hAnsi="Times New Roman" w:cs="Times New Roman"/>
          <w:sz w:val="24"/>
          <w:szCs w:val="24"/>
          <w:lang w:val="en-GB" w:eastAsia="ja-JP"/>
        </w:rPr>
        <w:t>INFUSE Timor-Leste</w:t>
      </w:r>
      <w:r>
        <w:rPr>
          <w:rFonts w:ascii="Times New Roman" w:hAnsi="Times New Roman" w:cs="Times New Roman"/>
          <w:sz w:val="24"/>
          <w:szCs w:val="24"/>
          <w:lang w:val="en-GB"/>
        </w:rPr>
        <w:t>.</w:t>
      </w:r>
    </w:p>
    <w:p w14:paraId="7DF984F6" w14:textId="77777777" w:rsidR="00035340" w:rsidRDefault="00035340">
      <w:pPr>
        <w:pStyle w:val="NoSpacing"/>
        <w:jc w:val="both"/>
        <w:rPr>
          <w:rFonts w:ascii="Times New Roman" w:hAnsi="Times New Roman" w:cs="Times New Roman"/>
          <w:sz w:val="24"/>
          <w:szCs w:val="24"/>
          <w:lang w:val="en-GB"/>
        </w:rPr>
      </w:pPr>
    </w:p>
    <w:p w14:paraId="686EBE63" w14:textId="77777777" w:rsidR="00035340" w:rsidRDefault="0040272B">
      <w:pPr>
        <w:pStyle w:val="NoSpacing"/>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Donor Deposit</w:t>
      </w:r>
    </w:p>
    <w:p w14:paraId="7B8AC0E4" w14:textId="77777777" w:rsidR="00035340" w:rsidRDefault="0040272B">
      <w:pPr>
        <w:pStyle w:val="NoSpacing"/>
        <w:jc w:val="both"/>
      </w:pPr>
      <w:r>
        <w:rPr>
          <w:rFonts w:ascii="Times New Roman" w:hAnsi="Times New Roman" w:cs="Times New Roman"/>
          <w:sz w:val="24"/>
          <w:szCs w:val="24"/>
          <w:lang w:val="en-GB"/>
        </w:rPr>
        <w:t>Cash deposit received by the Multi-Partner Trust Fund Office for the INFUSE</w:t>
      </w:r>
      <w:r>
        <w:rPr>
          <w:rFonts w:ascii="Times New Roman" w:hAnsi="Times New Roman" w:cs="Times New Roman"/>
          <w:sz w:val="24"/>
          <w:szCs w:val="24"/>
          <w:lang w:val="en-GB" w:eastAsia="ja-JP"/>
        </w:rPr>
        <w:t xml:space="preserve"> Timor-Leste</w:t>
      </w:r>
      <w:r>
        <w:rPr>
          <w:rFonts w:ascii="Times New Roman" w:hAnsi="Times New Roman" w:cs="Times New Roman"/>
          <w:sz w:val="24"/>
          <w:szCs w:val="24"/>
          <w:lang w:val="en-GB"/>
        </w:rPr>
        <w:t>.</w:t>
      </w:r>
    </w:p>
    <w:p w14:paraId="1516DE5F" w14:textId="77777777" w:rsidR="00035340" w:rsidRDefault="00035340">
      <w:pPr>
        <w:pStyle w:val="NoSpacing"/>
        <w:jc w:val="both"/>
        <w:rPr>
          <w:rFonts w:ascii="Times New Roman" w:hAnsi="Times New Roman" w:cs="Times New Roman"/>
          <w:sz w:val="24"/>
          <w:szCs w:val="24"/>
          <w:lang w:val="en-GB"/>
        </w:rPr>
      </w:pPr>
    </w:p>
    <w:p w14:paraId="295D9996" w14:textId="77777777" w:rsidR="00035340" w:rsidRDefault="0040272B">
      <w:pPr>
        <w:pStyle w:val="NoSpacing"/>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Project Expenditure</w:t>
      </w:r>
    </w:p>
    <w:p w14:paraId="06D9D661" w14:textId="77777777" w:rsidR="00035340" w:rsidRDefault="0040272B">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Amount of project disbursement plus un-liquidated obligations related to payments due for the year.</w:t>
      </w:r>
    </w:p>
    <w:p w14:paraId="6E01F445" w14:textId="77777777" w:rsidR="00035340" w:rsidRDefault="00035340">
      <w:pPr>
        <w:rPr>
          <w:b/>
          <w:u w:val="single"/>
          <w:lang w:val="en-GB"/>
        </w:rPr>
      </w:pPr>
    </w:p>
    <w:p w14:paraId="5C04DB46" w14:textId="77777777" w:rsidR="00035340" w:rsidRDefault="00035340">
      <w:pPr>
        <w:pageBreakBefore/>
        <w:rPr>
          <w:b/>
          <w:u w:val="single"/>
        </w:rPr>
      </w:pPr>
    </w:p>
    <w:p w14:paraId="415CEEF6" w14:textId="77777777" w:rsidR="00035340" w:rsidRDefault="00431232">
      <w:pPr>
        <w:jc w:val="center"/>
        <w:rPr>
          <w:b/>
        </w:rPr>
      </w:pPr>
      <w:bookmarkStart w:id="22" w:name="_Toc351118741"/>
      <w:bookmarkStart w:id="23" w:name="_Toc351118792"/>
      <w:r>
        <w:rPr>
          <w:b/>
        </w:rPr>
        <w:t xml:space="preserve">PART I: </w:t>
      </w:r>
      <w:del w:id="24" w:author="Fiona Bayat" w:date="2015-04-21T09:09:00Z">
        <w:r w:rsidR="0040272B" w:rsidDel="00F62C22">
          <w:rPr>
            <w:b/>
          </w:rPr>
          <w:delText xml:space="preserve">ANNUAL </w:delText>
        </w:r>
      </w:del>
      <w:ins w:id="25" w:author="Fiona Bayat" w:date="2015-04-21T09:09:00Z">
        <w:r w:rsidR="00F62C22">
          <w:rPr>
            <w:b/>
          </w:rPr>
          <w:t xml:space="preserve">FINAL </w:t>
        </w:r>
      </w:ins>
      <w:r w:rsidR="0040272B">
        <w:rPr>
          <w:b/>
        </w:rPr>
        <w:t>NARRATIVE PROGRESS REPORT OF</w:t>
      </w:r>
    </w:p>
    <w:p w14:paraId="254827BD" w14:textId="77777777" w:rsidR="00035340" w:rsidRDefault="0040272B">
      <w:pPr>
        <w:jc w:val="center"/>
      </w:pPr>
      <w:bookmarkStart w:id="26" w:name="_Toc288470230"/>
      <w:bookmarkStart w:id="27" w:name="_Toc288486041"/>
      <w:r>
        <w:rPr>
          <w:b/>
        </w:rPr>
        <w:t>THE INCLUSIVE FINANCE for the UNDER</w:t>
      </w:r>
      <w:r>
        <w:rPr>
          <w:rFonts w:ascii="Monaco" w:eastAsia="MS Mincho" w:hAnsi="Monaco" w:cs="Monaco"/>
          <w:b/>
        </w:rPr>
        <w:t>-</w:t>
      </w:r>
      <w:r>
        <w:rPr>
          <w:b/>
        </w:rPr>
        <w:t xml:space="preserve">SERVED ECONOMY [INFUSE] </w:t>
      </w:r>
      <w:bookmarkEnd w:id="26"/>
      <w:bookmarkEnd w:id="27"/>
      <w:r w:rsidR="007F214E">
        <w:rPr>
          <w:b/>
        </w:rPr>
        <w:t>PROGRAMME</w:t>
      </w:r>
    </w:p>
    <w:p w14:paraId="5C29455D" w14:textId="77777777" w:rsidR="00035340" w:rsidRDefault="00035340">
      <w:pPr>
        <w:pStyle w:val="Clea"/>
        <w:ind w:left="0"/>
        <w:jc w:val="left"/>
        <w:outlineLvl w:val="9"/>
        <w:rPr>
          <w:sz w:val="24"/>
          <w:szCs w:val="24"/>
        </w:rPr>
      </w:pPr>
    </w:p>
    <w:p w14:paraId="3656FA78" w14:textId="77777777" w:rsidR="00035340" w:rsidRDefault="0040272B" w:rsidP="00B43398">
      <w:pPr>
        <w:pStyle w:val="Heading1"/>
        <w:numPr>
          <w:ilvl w:val="0"/>
          <w:numId w:val="6"/>
        </w:numPr>
        <w:tabs>
          <w:tab w:val="left" w:pos="360"/>
        </w:tabs>
        <w:suppressAutoHyphens w:val="0"/>
        <w:ind w:left="360" w:hanging="360"/>
        <w:jc w:val="left"/>
        <w:textAlignment w:val="auto"/>
        <w:rPr>
          <w:rFonts w:ascii="Times New Roman" w:hAnsi="Times New Roman"/>
          <w:sz w:val="24"/>
          <w:szCs w:val="24"/>
        </w:rPr>
      </w:pPr>
      <w:bookmarkStart w:id="28" w:name="_Toc384220797"/>
      <w:r>
        <w:rPr>
          <w:rFonts w:ascii="Times New Roman" w:hAnsi="Times New Roman"/>
          <w:sz w:val="24"/>
          <w:szCs w:val="24"/>
        </w:rPr>
        <w:t>Executive Summary</w:t>
      </w:r>
      <w:bookmarkEnd w:id="28"/>
    </w:p>
    <w:p w14:paraId="41D3A6D5" w14:textId="77777777" w:rsidR="00035340" w:rsidRDefault="00035340">
      <w:pPr>
        <w:pStyle w:val="Clea"/>
        <w:ind w:left="0"/>
        <w:jc w:val="left"/>
        <w:outlineLvl w:val="9"/>
        <w:rPr>
          <w:rFonts w:ascii="Times New Roman" w:hAnsi="Times New Roman" w:cs="Times New Roman"/>
          <w:color w:val="auto"/>
          <w:sz w:val="24"/>
          <w:szCs w:val="24"/>
        </w:rPr>
      </w:pPr>
    </w:p>
    <w:p w14:paraId="6FB42007" w14:textId="77777777" w:rsidR="00035340" w:rsidRDefault="0040272B">
      <w:pPr>
        <w:autoSpaceDE w:val="0"/>
        <w:jc w:val="both"/>
      </w:pPr>
      <w:r>
        <w:t>This 201</w:t>
      </w:r>
      <w:r w:rsidR="004421AB">
        <w:t>4</w:t>
      </w:r>
      <w:r>
        <w:t xml:space="preserve"> Consolidated Annual Progress Report under the Joint </w:t>
      </w:r>
      <w:r w:rsidR="007F214E">
        <w:t>Programme</w:t>
      </w:r>
      <w:r>
        <w:t xml:space="preserve"> Inclusive Finance for the Under-served Economy (INFUSE) covers the period from 1 January to 31 December. This report is in fulfilment of the reporting requirements set out in the Standard Administrative Arrangement (SAA) concluded with the Donors. In line with the Memorandum of Understanding (MOU) signed by Participating UN Organizations, the Annual Progress Report is consolidated based on information, data and financial statements submitted by Participating Organizations. It is neither an evaluation of the Joint </w:t>
      </w:r>
      <w:r w:rsidR="007F214E">
        <w:t>Programme</w:t>
      </w:r>
      <w:r>
        <w:t xml:space="preserve"> nor an assessment of the performance of the Participating Organizations. The report provide</w:t>
      </w:r>
      <w:r w:rsidR="00900EFF">
        <w:t>s</w:t>
      </w:r>
      <w:r>
        <w:t xml:space="preserve"> the Management Committee for Inclusive Finance (MCIF) with a comprehensive overview of achievements and challenges associated with the Joint </w:t>
      </w:r>
      <w:r w:rsidR="007F214E">
        <w:t>Programme</w:t>
      </w:r>
      <w:r>
        <w:t>, enabling it to make strategic decisions and take corrective measures, where applicable.</w:t>
      </w:r>
    </w:p>
    <w:p w14:paraId="6C3DA6E6" w14:textId="77777777" w:rsidR="00035340" w:rsidRDefault="00035340">
      <w:pPr>
        <w:autoSpaceDE w:val="0"/>
        <w:jc w:val="both"/>
        <w:rPr>
          <w:b/>
        </w:rPr>
      </w:pPr>
    </w:p>
    <w:p w14:paraId="1438B739" w14:textId="77777777" w:rsidR="00035340" w:rsidRDefault="0040272B">
      <w:pPr>
        <w:autoSpaceDE w:val="0"/>
        <w:jc w:val="both"/>
      </w:pPr>
      <w:r>
        <w:t>Main achievements over the year 201</w:t>
      </w:r>
      <w:r w:rsidR="00573F4A">
        <w:t>4</w:t>
      </w:r>
      <w:r>
        <w:t>:</w:t>
      </w:r>
    </w:p>
    <w:p w14:paraId="5ED9CE50" w14:textId="77777777" w:rsidR="001F7102" w:rsidRDefault="001C36B1" w:rsidP="001F7102">
      <w:pPr>
        <w:numPr>
          <w:ilvl w:val="0"/>
          <w:numId w:val="14"/>
        </w:numPr>
        <w:suppressAutoHyphens w:val="0"/>
        <w:autoSpaceDE w:val="0"/>
        <w:ind w:left="357" w:hanging="357"/>
        <w:jc w:val="both"/>
        <w:textAlignment w:val="auto"/>
      </w:pPr>
      <w:r>
        <w:rPr>
          <w:lang w:eastAsia="ja-JP"/>
        </w:rPr>
        <w:t>Branchless banking: provided</w:t>
      </w:r>
      <w:r w:rsidR="00C51543">
        <w:rPr>
          <w:lang w:eastAsia="ja-JP"/>
        </w:rPr>
        <w:t xml:space="preserve"> technical assistance</w:t>
      </w:r>
      <w:r w:rsidR="001F7102">
        <w:rPr>
          <w:lang w:eastAsia="ja-JP"/>
        </w:rPr>
        <w:t xml:space="preserve"> to BNU to plan and launch the first mobile money pilot in Timor-Leste after BCTL gave approval.</w:t>
      </w:r>
      <w:r w:rsidR="001F7102" w:rsidRPr="001F7102">
        <w:rPr>
          <w:lang w:eastAsia="ja-JP"/>
        </w:rPr>
        <w:t xml:space="preserve"> </w:t>
      </w:r>
      <w:r w:rsidR="00B645FC">
        <w:rPr>
          <w:lang w:eastAsia="ja-JP"/>
        </w:rPr>
        <w:t>P</w:t>
      </w:r>
      <w:r w:rsidR="001F7102">
        <w:rPr>
          <w:lang w:eastAsia="ja-JP"/>
        </w:rPr>
        <w:t>rocured the services of a renowned consulting company (MicroSave) in the field of branchless-banking to help it develop its strategy in this field, with the aim to develop step by step payments and cash-in /cash-out services for the low-income segments leveraging technology and agents.</w:t>
      </w:r>
    </w:p>
    <w:p w14:paraId="64CCAD46" w14:textId="77777777" w:rsidR="001F7102" w:rsidRDefault="001F7102" w:rsidP="00FA0C50">
      <w:pPr>
        <w:numPr>
          <w:ilvl w:val="0"/>
          <w:numId w:val="14"/>
        </w:numPr>
        <w:suppressAutoHyphens w:val="0"/>
        <w:autoSpaceDE w:val="0"/>
        <w:ind w:left="357" w:hanging="357"/>
        <w:jc w:val="both"/>
        <w:textAlignment w:val="auto"/>
        <w:rPr>
          <w:lang w:eastAsia="ja-JP"/>
        </w:rPr>
      </w:pPr>
      <w:r>
        <w:rPr>
          <w:lang w:eastAsia="ja-JP"/>
        </w:rPr>
        <w:t>Micro-insurance</w:t>
      </w:r>
      <w:r w:rsidR="001C36B1">
        <w:rPr>
          <w:lang w:eastAsia="ja-JP"/>
        </w:rPr>
        <w:t xml:space="preserve">: </w:t>
      </w:r>
      <w:r w:rsidR="00B645FC">
        <w:rPr>
          <w:lang w:eastAsia="ja-JP"/>
        </w:rPr>
        <w:t>conducted evaluation</w:t>
      </w:r>
      <w:r w:rsidR="002F7EBC">
        <w:rPr>
          <w:lang w:eastAsia="ja-JP"/>
        </w:rPr>
        <w:t xml:space="preserve"> of Credit Life (the first micro-insurance product which INFUSE helped develop and offered by NITL through Moris Rasik and Tubai Rai Metin)</w:t>
      </w:r>
      <w:r w:rsidR="00D63E1E">
        <w:rPr>
          <w:lang w:eastAsia="ja-JP"/>
        </w:rPr>
        <w:t xml:space="preserve"> and recommendations to improve the current product offerings, delivery channels and introduce new products e.g. a savings linked micro-insurance product.</w:t>
      </w:r>
    </w:p>
    <w:p w14:paraId="1B204AF2" w14:textId="77777777" w:rsidR="001F7102" w:rsidRDefault="00B645FC" w:rsidP="00FA0C50">
      <w:pPr>
        <w:numPr>
          <w:ilvl w:val="0"/>
          <w:numId w:val="14"/>
        </w:numPr>
        <w:suppressAutoHyphens w:val="0"/>
        <w:autoSpaceDE w:val="0"/>
        <w:ind w:left="357" w:hanging="357"/>
        <w:jc w:val="both"/>
        <w:textAlignment w:val="auto"/>
        <w:rPr>
          <w:lang w:eastAsia="ja-JP"/>
        </w:rPr>
      </w:pPr>
      <w:r>
        <w:rPr>
          <w:lang w:eastAsia="ja-JP"/>
        </w:rPr>
        <w:t>Financial Services Sector Assessment</w:t>
      </w:r>
      <w:r w:rsidR="001C36B1">
        <w:rPr>
          <w:lang w:eastAsia="ja-JP"/>
        </w:rPr>
        <w:t>:</w:t>
      </w:r>
      <w:r w:rsidR="00C85D6E">
        <w:rPr>
          <w:lang w:eastAsia="ja-JP"/>
        </w:rPr>
        <w:t xml:space="preserve"> documented</w:t>
      </w:r>
      <w:r w:rsidR="00AF761D">
        <w:rPr>
          <w:lang w:eastAsia="ja-JP"/>
        </w:rPr>
        <w:t xml:space="preserve"> the setting of financial services in Timor-Leste at a macro, meso and micro level. </w:t>
      </w:r>
      <w:r w:rsidR="005C3EDA">
        <w:rPr>
          <w:lang w:eastAsia="ja-JP"/>
        </w:rPr>
        <w:t>Opportunities and challenges addressed for building an inclusive financial sector, as well as the role of donors, the regulator and service providers highlighted.</w:t>
      </w:r>
    </w:p>
    <w:p w14:paraId="40E7EAB3" w14:textId="77777777" w:rsidR="001F7102" w:rsidRDefault="001F7102" w:rsidP="001F7102">
      <w:pPr>
        <w:numPr>
          <w:ilvl w:val="0"/>
          <w:numId w:val="14"/>
        </w:numPr>
        <w:suppressAutoHyphens w:val="0"/>
        <w:autoSpaceDE w:val="0"/>
        <w:ind w:left="357" w:hanging="357"/>
        <w:jc w:val="both"/>
        <w:textAlignment w:val="auto"/>
      </w:pPr>
      <w:r>
        <w:rPr>
          <w:lang w:eastAsia="ja-JP"/>
        </w:rPr>
        <w:t>Savings Groups</w:t>
      </w:r>
      <w:r w:rsidR="008D083E">
        <w:rPr>
          <w:lang w:eastAsia="ja-JP"/>
        </w:rPr>
        <w:t xml:space="preserve"> State of the Sector Assessment: </w:t>
      </w:r>
      <w:r w:rsidR="00E54101">
        <w:rPr>
          <w:lang w:eastAsia="ja-JP"/>
        </w:rPr>
        <w:t>b</w:t>
      </w:r>
      <w:r w:rsidR="00993A44">
        <w:rPr>
          <w:lang w:eastAsia="ja-JP"/>
        </w:rPr>
        <w:t>uilding on INFUSE’s previous studies related to the development of savings groups, Brett Matthews, a leading authority on savings groups, who had completed a similar assessment in the Solomon Is</w:t>
      </w:r>
      <w:r w:rsidR="00E54101">
        <w:rPr>
          <w:lang w:eastAsia="ja-JP"/>
        </w:rPr>
        <w:t xml:space="preserve">lands </w:t>
      </w:r>
      <w:r w:rsidR="00993A44">
        <w:rPr>
          <w:lang w:eastAsia="ja-JP"/>
        </w:rPr>
        <w:t xml:space="preserve">was hired to produce an assessment and subsequent trainings on </w:t>
      </w:r>
      <w:r w:rsidR="00E54101">
        <w:rPr>
          <w:lang w:eastAsia="ja-JP"/>
        </w:rPr>
        <w:t>a</w:t>
      </w:r>
      <w:r w:rsidR="007D50EE">
        <w:rPr>
          <w:lang w:eastAsia="ja-JP"/>
        </w:rPr>
        <w:t>c</w:t>
      </w:r>
      <w:r w:rsidR="00E54101">
        <w:rPr>
          <w:lang w:eastAsia="ja-JP"/>
        </w:rPr>
        <w:t>tion a</w:t>
      </w:r>
      <w:r w:rsidR="007D50EE">
        <w:rPr>
          <w:lang w:eastAsia="ja-JP"/>
        </w:rPr>
        <w:t>uditing</w:t>
      </w:r>
      <w:r w:rsidR="00E54101">
        <w:rPr>
          <w:lang w:eastAsia="ja-JP"/>
        </w:rPr>
        <w:t xml:space="preserve"> and operational efficiency </w:t>
      </w:r>
      <w:r w:rsidR="00993A44">
        <w:rPr>
          <w:lang w:eastAsia="ja-JP"/>
        </w:rPr>
        <w:t xml:space="preserve">(based on the recommendations of the assessment). </w:t>
      </w:r>
    </w:p>
    <w:p w14:paraId="1C23A521" w14:textId="77777777" w:rsidR="00D848A5" w:rsidRDefault="00D848A5" w:rsidP="001F7102">
      <w:pPr>
        <w:numPr>
          <w:ilvl w:val="0"/>
          <w:numId w:val="14"/>
        </w:numPr>
        <w:suppressAutoHyphens w:val="0"/>
        <w:autoSpaceDE w:val="0"/>
        <w:ind w:left="357" w:hanging="357"/>
        <w:jc w:val="both"/>
        <w:textAlignment w:val="auto"/>
      </w:pPr>
      <w:r>
        <w:rPr>
          <w:lang w:eastAsia="ja-JP"/>
        </w:rPr>
        <w:t xml:space="preserve">INFUSE II scoping: </w:t>
      </w:r>
      <w:r w:rsidR="00583D48">
        <w:rPr>
          <w:lang w:eastAsia="ja-JP"/>
        </w:rPr>
        <w:t>as the current phase of INFUSE draws to a close a scoping exercise for a second phase was implemented. In consultation with stakeholders a consensus building workshop and report on a new access to finance programme, building on the success of INFUSE e.g. branchless banking, micro-insurance and savings groups was developed.</w:t>
      </w:r>
    </w:p>
    <w:p w14:paraId="1E829D23" w14:textId="77777777" w:rsidR="0043157F" w:rsidRDefault="0043157F" w:rsidP="0043157F">
      <w:pPr>
        <w:suppressAutoHyphens w:val="0"/>
        <w:autoSpaceDE w:val="0"/>
        <w:adjustRightInd w:val="0"/>
        <w:contextualSpacing/>
        <w:textAlignment w:val="auto"/>
        <w:rPr>
          <w:szCs w:val="22"/>
          <w:lang w:eastAsia="ja-JP"/>
        </w:rPr>
      </w:pPr>
    </w:p>
    <w:p w14:paraId="13D2F965" w14:textId="77777777" w:rsidR="0043157F" w:rsidRPr="0043157F" w:rsidRDefault="00900DC3" w:rsidP="0043157F">
      <w:pPr>
        <w:suppressAutoHyphens w:val="0"/>
        <w:autoSpaceDE w:val="0"/>
        <w:adjustRightInd w:val="0"/>
        <w:contextualSpacing/>
        <w:textAlignment w:val="auto"/>
        <w:rPr>
          <w:lang w:val="en-GB"/>
        </w:rPr>
      </w:pPr>
      <w:r w:rsidRPr="00AC3FD4">
        <w:t xml:space="preserve">Since the beginning of INFUSE in 2008, </w:t>
      </w:r>
      <w:r w:rsidR="004C710D" w:rsidRPr="00AC3FD4">
        <w:t xml:space="preserve">the </w:t>
      </w:r>
      <w:r w:rsidRPr="00AC3FD4">
        <w:t xml:space="preserve">key objectives were to build the capacity and promote the growth of the microfinance institutions serving </w:t>
      </w:r>
      <w:r w:rsidR="002C5A8A" w:rsidRPr="00AC3FD4">
        <w:t>low-income segments</w:t>
      </w:r>
      <w:r w:rsidR="00B06ED6" w:rsidRPr="00AC3FD4">
        <w:t>, which</w:t>
      </w:r>
      <w:r w:rsidR="004C710D" w:rsidRPr="00AC3FD4">
        <w:t xml:space="preserve"> in 2014</w:t>
      </w:r>
      <w:r w:rsidR="007C3041" w:rsidRPr="00AC3FD4">
        <w:t xml:space="preserve"> reached </w:t>
      </w:r>
      <w:r w:rsidR="0040272B" w:rsidRPr="00AC3FD4">
        <w:t>1</w:t>
      </w:r>
      <w:r w:rsidR="00AC3FD4" w:rsidRPr="00AC3FD4">
        <w:t>7</w:t>
      </w:r>
      <w:r w:rsidR="0040272B" w:rsidRPr="00AC3FD4">
        <w:t>,</w:t>
      </w:r>
      <w:r w:rsidR="00AC3FD4" w:rsidRPr="00AC3FD4">
        <w:t>66</w:t>
      </w:r>
      <w:r w:rsidR="00BF67C9" w:rsidRPr="00AC3FD4">
        <w:t xml:space="preserve"> clients</w:t>
      </w:r>
      <w:r w:rsidR="0040272B" w:rsidRPr="00AC3FD4">
        <w:t>.</w:t>
      </w:r>
      <w:r w:rsidR="0043157F">
        <w:t xml:space="preserve"> In a review of the performance based grants to the MFIs,</w:t>
      </w:r>
      <w:r w:rsidR="0040272B" w:rsidRPr="00AC3FD4">
        <w:t xml:space="preserve"> </w:t>
      </w:r>
      <w:r w:rsidR="00817BC9">
        <w:rPr>
          <w:sz w:val="22"/>
          <w:szCs w:val="22"/>
        </w:rPr>
        <w:t>Moris Rasik</w:t>
      </w:r>
      <w:r w:rsidR="00817BC9" w:rsidRPr="0043157F">
        <w:rPr>
          <w:lang w:val="en-GB"/>
        </w:rPr>
        <w:t xml:space="preserve"> </w:t>
      </w:r>
      <w:r w:rsidR="00817BC9">
        <w:rPr>
          <w:lang w:val="en-GB"/>
        </w:rPr>
        <w:t>(</w:t>
      </w:r>
      <w:r w:rsidR="0043157F" w:rsidRPr="0043157F">
        <w:rPr>
          <w:lang w:val="en-GB"/>
        </w:rPr>
        <w:t>MR</w:t>
      </w:r>
      <w:r w:rsidR="00817BC9">
        <w:rPr>
          <w:lang w:val="en-GB"/>
        </w:rPr>
        <w:t>)</w:t>
      </w:r>
      <w:r w:rsidR="0043157F" w:rsidRPr="0043157F">
        <w:rPr>
          <w:lang w:val="en-GB"/>
        </w:rPr>
        <w:t xml:space="preserve"> successfully completed the terms to receive the first tranche of the grant ($30,000) by MIS rolled-out to 3 branches meeting the quality indicators in 14/02/2013, as verified by the CTA.  However, MR decided to change MIS to a cloud-based system which was previously unavailable. It was agreed that rollout of the funded MIS would not be completed as specified in the grant agreement; therefore the agreement was terminated without disbursing the final tranche ($30,000)</w:t>
      </w:r>
      <w:r w:rsidR="0043157F">
        <w:rPr>
          <w:lang w:val="en-GB"/>
        </w:rPr>
        <w:t xml:space="preserve">. </w:t>
      </w:r>
      <w:r w:rsidR="00817BC9">
        <w:rPr>
          <w:lang w:val="en-GB"/>
        </w:rPr>
        <w:t>Tuba Rai Metin (</w:t>
      </w:r>
      <w:r w:rsidR="0043157F" w:rsidRPr="0043157F">
        <w:rPr>
          <w:lang w:val="en-GB"/>
        </w:rPr>
        <w:t>TRM</w:t>
      </w:r>
      <w:r w:rsidR="00817BC9">
        <w:rPr>
          <w:lang w:val="en-GB"/>
        </w:rPr>
        <w:t>)</w:t>
      </w:r>
      <w:r w:rsidR="0043157F" w:rsidRPr="0043157F">
        <w:rPr>
          <w:lang w:val="en-GB"/>
        </w:rPr>
        <w:t xml:space="preserve"> received a grant of $40,000 to assist in attracting equity investment, of which one tranche of $25,000 was outstanding to be disbursed according to the following conditions, which were both achieved:</w:t>
      </w:r>
    </w:p>
    <w:p w14:paraId="1FB65B94" w14:textId="77777777" w:rsidR="0043157F" w:rsidRPr="0043157F" w:rsidRDefault="0043157F" w:rsidP="0043157F">
      <w:pPr>
        <w:pStyle w:val="ListParagraph"/>
        <w:numPr>
          <w:ilvl w:val="1"/>
          <w:numId w:val="30"/>
        </w:numPr>
        <w:suppressAutoHyphens w:val="0"/>
        <w:autoSpaceDE w:val="0"/>
        <w:adjustRightInd w:val="0"/>
        <w:contextualSpacing/>
        <w:textAlignment w:val="auto"/>
        <w:rPr>
          <w:lang w:val="en-GB"/>
        </w:rPr>
      </w:pPr>
      <w:r w:rsidRPr="0043157F">
        <w:rPr>
          <w:lang w:val="en-GB"/>
        </w:rPr>
        <w:t>Financial audit satisfying the pre-requisites of at least one potential investor</w:t>
      </w:r>
    </w:p>
    <w:p w14:paraId="31E405F9" w14:textId="77777777" w:rsidR="0043157F" w:rsidRDefault="0043157F" w:rsidP="0043157F">
      <w:pPr>
        <w:pStyle w:val="ListParagraph"/>
        <w:numPr>
          <w:ilvl w:val="1"/>
          <w:numId w:val="30"/>
        </w:numPr>
        <w:suppressAutoHyphens w:val="0"/>
        <w:autoSpaceDE w:val="0"/>
        <w:adjustRightInd w:val="0"/>
        <w:contextualSpacing/>
        <w:textAlignment w:val="auto"/>
        <w:rPr>
          <w:lang w:val="en-GB"/>
        </w:rPr>
      </w:pPr>
      <w:r w:rsidRPr="0043157F">
        <w:rPr>
          <w:lang w:val="en-GB"/>
        </w:rPr>
        <w:lastRenderedPageBreak/>
        <w:t>Letter of intent from at least one potential investor detailing the prerequisite for financial audit and its ToR</w:t>
      </w:r>
    </w:p>
    <w:p w14:paraId="13C5E6B2" w14:textId="77777777" w:rsidR="0043157F" w:rsidRPr="0043157F" w:rsidRDefault="0043157F" w:rsidP="0043157F">
      <w:pPr>
        <w:pStyle w:val="ListParagraph"/>
        <w:numPr>
          <w:ilvl w:val="1"/>
          <w:numId w:val="30"/>
        </w:numPr>
        <w:suppressAutoHyphens w:val="0"/>
        <w:autoSpaceDE w:val="0"/>
        <w:adjustRightInd w:val="0"/>
        <w:contextualSpacing/>
        <w:textAlignment w:val="auto"/>
        <w:rPr>
          <w:lang w:val="en-GB"/>
        </w:rPr>
      </w:pPr>
      <w:r w:rsidRPr="0043157F">
        <w:rPr>
          <w:lang w:val="en-GB"/>
        </w:rPr>
        <w:t>TRM successfully completed the audit as per the requirements of the BTCL for its ODTI license and received a letter of intent to invest from three investors: IFC, Grameen Credit Agricole and Base of the Pyramid Asia</w:t>
      </w:r>
    </w:p>
    <w:p w14:paraId="2A2FE7D9" w14:textId="77777777" w:rsidR="0043157F" w:rsidRPr="0043157F" w:rsidRDefault="0043157F" w:rsidP="0043157F">
      <w:pPr>
        <w:autoSpaceDE w:val="0"/>
        <w:adjustRightInd w:val="0"/>
        <w:rPr>
          <w:rFonts w:ascii="Arial" w:hAnsi="Arial" w:cs="Arial"/>
          <w:color w:val="303030"/>
          <w:lang w:eastAsia="en-CA"/>
        </w:rPr>
      </w:pPr>
    </w:p>
    <w:p w14:paraId="0ADE379E" w14:textId="77777777" w:rsidR="00035340" w:rsidRDefault="0043157F" w:rsidP="000F243D">
      <w:pPr>
        <w:suppressAutoHyphens w:val="0"/>
        <w:autoSpaceDN/>
        <w:contextualSpacing/>
        <w:textAlignment w:val="auto"/>
        <w:rPr>
          <w:lang w:val="en-GB"/>
        </w:rPr>
      </w:pPr>
      <w:r w:rsidRPr="0043157F">
        <w:rPr>
          <w:lang w:val="en-GB"/>
        </w:rPr>
        <w:t>Both Grants</w:t>
      </w:r>
      <w:r>
        <w:rPr>
          <w:lang w:val="en-GB"/>
        </w:rPr>
        <w:t xml:space="preserve"> are now closed and the technical assistance to the MFIs</w:t>
      </w:r>
      <w:r w:rsidRPr="0043157F">
        <w:rPr>
          <w:lang w:val="en-GB"/>
        </w:rPr>
        <w:t xml:space="preserve"> has been transitioned to IFC</w:t>
      </w:r>
      <w:r>
        <w:rPr>
          <w:lang w:val="en-GB"/>
        </w:rPr>
        <w:t xml:space="preserve">. </w:t>
      </w:r>
    </w:p>
    <w:p w14:paraId="0A085C54" w14:textId="77777777" w:rsidR="000F243D" w:rsidRPr="000F243D" w:rsidRDefault="000F243D" w:rsidP="000F243D">
      <w:pPr>
        <w:suppressAutoHyphens w:val="0"/>
        <w:autoSpaceDN/>
        <w:contextualSpacing/>
        <w:textAlignment w:val="auto"/>
        <w:rPr>
          <w:lang w:val="en-GB"/>
        </w:rPr>
      </w:pPr>
    </w:p>
    <w:p w14:paraId="7DCAB144" w14:textId="77777777" w:rsidR="00035340" w:rsidRDefault="0040272B">
      <w:pPr>
        <w:autoSpaceDE w:val="0"/>
        <w:jc w:val="both"/>
      </w:pPr>
      <w:r>
        <w:t xml:space="preserve">The Multi-Partner Trust Fund Office (MPTF Office) of the United Nations Development </w:t>
      </w:r>
      <w:r w:rsidR="007F214E">
        <w:t>Programme</w:t>
      </w:r>
      <w:r w:rsidR="001A5D81">
        <w:t xml:space="preserve"> </w:t>
      </w:r>
      <w:r>
        <w:t xml:space="preserve">(UNDP) serves as the Administrative Agent for the pass-through funded portion of the Joint </w:t>
      </w:r>
      <w:r w:rsidR="007F214E">
        <w:t>Programme</w:t>
      </w:r>
      <w:r>
        <w:t>. The MPTF Office receives, administers and manages contributions from Donors, and disburses these funds to the Participating UN Organizations in accordance with the decisions of the MCIF. The Administrative Agent receives and consolidates annual reports and submits to the MCIF.</w:t>
      </w:r>
    </w:p>
    <w:p w14:paraId="63FF8B17" w14:textId="77777777" w:rsidR="00035340" w:rsidRDefault="00035340">
      <w:pPr>
        <w:autoSpaceDE w:val="0"/>
        <w:jc w:val="both"/>
      </w:pPr>
    </w:p>
    <w:p w14:paraId="5D87E844" w14:textId="77777777" w:rsidR="00035340" w:rsidRDefault="0040272B">
      <w:pPr>
        <w:autoSpaceDE w:val="0"/>
        <w:jc w:val="both"/>
      </w:pPr>
      <w:r>
        <w:t>This report is presented in two parts. Part I</w:t>
      </w:r>
      <w:r w:rsidR="00B43398">
        <w:t xml:space="preserve"> (Sections I-</w:t>
      </w:r>
      <w:r w:rsidR="004E7762">
        <w:t>I</w:t>
      </w:r>
      <w:r w:rsidR="00B43398">
        <w:t>V</w:t>
      </w:r>
      <w:r w:rsidR="004E7762">
        <w:t>)</w:t>
      </w:r>
      <w:r>
        <w:t xml:space="preserve"> is the Annual Narrative Progress Report and Part II</w:t>
      </w:r>
      <w:r w:rsidR="004E7762">
        <w:t xml:space="preserve"> </w:t>
      </w:r>
      <w:r>
        <w:t xml:space="preserve">is the Annual Consolidated Financial Report for the pass-through funded portion of the Joint </w:t>
      </w:r>
      <w:r w:rsidR="007F214E">
        <w:t>Programme</w:t>
      </w:r>
      <w:r>
        <w:t xml:space="preserve"> funds. Section I is the Executive Summary; Section II provides a purpose of the Joint </w:t>
      </w:r>
      <w:r w:rsidR="007F214E">
        <w:t>Programme</w:t>
      </w:r>
      <w:r>
        <w:t xml:space="preserve">; Section III presents an overview of </w:t>
      </w:r>
      <w:r w:rsidR="003254C5">
        <w:t>results and an indicator based performance assessment  and</w:t>
      </w:r>
      <w:r>
        <w:t xml:space="preserve"> Section IV </w:t>
      </w:r>
      <w:r w:rsidR="003254C5">
        <w:t>presents an overview of the resources.</w:t>
      </w:r>
    </w:p>
    <w:p w14:paraId="41E65CA8" w14:textId="77777777" w:rsidR="00035340" w:rsidRDefault="00035340">
      <w:pPr>
        <w:autoSpaceDE w:val="0"/>
        <w:jc w:val="both"/>
      </w:pPr>
    </w:p>
    <w:p w14:paraId="3D7D7EB6" w14:textId="77777777" w:rsidR="00035340" w:rsidRDefault="0040272B">
      <w:pPr>
        <w:pStyle w:val="Heading1"/>
        <w:numPr>
          <w:ilvl w:val="0"/>
          <w:numId w:val="6"/>
        </w:numPr>
        <w:tabs>
          <w:tab w:val="left" w:pos="360"/>
        </w:tabs>
        <w:suppressAutoHyphens w:val="0"/>
        <w:ind w:left="360" w:hanging="360"/>
        <w:jc w:val="left"/>
        <w:textAlignment w:val="auto"/>
        <w:rPr>
          <w:rFonts w:ascii="Times New Roman" w:hAnsi="Times New Roman"/>
          <w:sz w:val="24"/>
          <w:szCs w:val="24"/>
        </w:rPr>
      </w:pPr>
      <w:bookmarkStart w:id="29" w:name="_Toc288467975"/>
      <w:bookmarkStart w:id="30" w:name="_Toc288468703"/>
      <w:bookmarkStart w:id="31" w:name="_Toc288486042"/>
      <w:bookmarkStart w:id="32" w:name="_Toc317679011"/>
      <w:bookmarkStart w:id="33" w:name="_Toc384220798"/>
      <w:r>
        <w:rPr>
          <w:rFonts w:ascii="Times New Roman" w:hAnsi="Times New Roman"/>
          <w:sz w:val="24"/>
          <w:szCs w:val="24"/>
        </w:rPr>
        <w:t>Purpose</w:t>
      </w:r>
      <w:bookmarkEnd w:id="29"/>
      <w:bookmarkEnd w:id="30"/>
      <w:bookmarkEnd w:id="31"/>
      <w:bookmarkEnd w:id="32"/>
      <w:bookmarkEnd w:id="33"/>
    </w:p>
    <w:p w14:paraId="1272D241" w14:textId="77777777" w:rsidR="00035340" w:rsidRDefault="00035340">
      <w:pPr>
        <w:pStyle w:val="BodyText"/>
        <w:jc w:val="both"/>
        <w:rPr>
          <w:rFonts w:ascii="Times New Roman" w:hAnsi="Times New Roman" w:cs="Times New Roman"/>
          <w:sz w:val="24"/>
          <w:szCs w:val="24"/>
        </w:rPr>
      </w:pPr>
    </w:p>
    <w:p w14:paraId="59F8BBB0" w14:textId="77777777" w:rsidR="00035340" w:rsidRDefault="0040272B">
      <w:pPr>
        <w:jc w:val="both"/>
      </w:pPr>
      <w:r>
        <w:rPr>
          <w:lang w:val="en-GB"/>
        </w:rPr>
        <w:t xml:space="preserve">The overall goal of the Inclusive Finance for the Underserved Economy (INFUSE) </w:t>
      </w:r>
      <w:r w:rsidR="007F214E">
        <w:rPr>
          <w:lang w:val="en-GB"/>
        </w:rPr>
        <w:t>Programme</w:t>
      </w:r>
      <w:r>
        <w:rPr>
          <w:lang w:val="en-GB"/>
        </w:rPr>
        <w:t xml:space="preserve"> is to contribute to the achievement of the Millennium Development Goals (MDGs), in particular Goal 1 of cutting absolute poverty in Timor-Leste by one third by 2015, through increasing sustainable access to financial services for poor and low-income people, both women and men. </w:t>
      </w:r>
      <w:r>
        <w:t xml:space="preserve">The </w:t>
      </w:r>
      <w:r w:rsidR="007F214E">
        <w:t>programme</w:t>
      </w:r>
      <w:r>
        <w:t xml:space="preserve"> utilizes a sector-wide approach to building an inclusive financial sector, focusing</w:t>
      </w:r>
      <w:r>
        <w:rPr>
          <w:lang w:val="en-GB"/>
        </w:rPr>
        <w:t xml:space="preserve"> on addressing gaps and impediments at</w:t>
      </w:r>
      <w:r>
        <w:t xml:space="preserve"> the retail (micro-), infrastructure (meso-), and legal and regulatory (macro-) levels</w:t>
      </w:r>
      <w:r>
        <w:rPr>
          <w:lang w:val="en-GB"/>
        </w:rPr>
        <w:t>.</w:t>
      </w:r>
      <w:r>
        <w:t xml:space="preserve"> </w:t>
      </w:r>
    </w:p>
    <w:p w14:paraId="364531FE" w14:textId="77777777" w:rsidR="00035340" w:rsidRDefault="00035340">
      <w:pPr>
        <w:jc w:val="both"/>
        <w:rPr>
          <w:b/>
        </w:rPr>
      </w:pPr>
    </w:p>
    <w:p w14:paraId="179BBC0F" w14:textId="77777777" w:rsidR="00035340" w:rsidRDefault="0040272B">
      <w:pPr>
        <w:tabs>
          <w:tab w:val="left" w:pos="4680"/>
        </w:tabs>
        <w:jc w:val="both"/>
      </w:pPr>
      <w:r>
        <w:rPr>
          <w:bCs/>
        </w:rPr>
        <w:t xml:space="preserve">At the end of </w:t>
      </w:r>
      <w:r w:rsidR="007F214E">
        <w:rPr>
          <w:bCs/>
        </w:rPr>
        <w:t>programme</w:t>
      </w:r>
      <w:r>
        <w:rPr>
          <w:bCs/>
          <w:lang w:eastAsia="ja-JP"/>
        </w:rPr>
        <w:t xml:space="preserve"> implementation</w:t>
      </w:r>
      <w:r>
        <w:rPr>
          <w:bCs/>
        </w:rPr>
        <w:t xml:space="preserve">, </w:t>
      </w:r>
      <w:r>
        <w:rPr>
          <w:bCs/>
          <w:lang w:eastAsia="ja-JP"/>
        </w:rPr>
        <w:t xml:space="preserve">INFUSE aims to achieve the above goal through the </w:t>
      </w:r>
      <w:r>
        <w:rPr>
          <w:bCs/>
        </w:rPr>
        <w:t>following outputs</w:t>
      </w:r>
      <w:r>
        <w:rPr>
          <w:bCs/>
          <w:lang w:eastAsia="ja-JP"/>
        </w:rPr>
        <w:t>:</w:t>
      </w:r>
    </w:p>
    <w:p w14:paraId="4C8A5CAC" w14:textId="77777777" w:rsidR="00035340" w:rsidRDefault="0040272B">
      <w:pPr>
        <w:pStyle w:val="Default"/>
        <w:numPr>
          <w:ilvl w:val="0"/>
          <w:numId w:val="8"/>
        </w:numPr>
        <w:jc w:val="both"/>
        <w:rPr>
          <w:rFonts w:ascii="Times New Roman" w:eastAsia="Times New Roman" w:hAnsi="Times New Roman" w:cs="Times New Roman"/>
          <w:color w:val="auto"/>
          <w:lang w:eastAsia="ja-JP"/>
        </w:rPr>
      </w:pPr>
      <w:bookmarkStart w:id="34" w:name="OLE_LINK1"/>
      <w:bookmarkStart w:id="35" w:name="OLE_LINK2"/>
      <w:r>
        <w:rPr>
          <w:rFonts w:ascii="Times New Roman" w:eastAsia="Times New Roman" w:hAnsi="Times New Roman" w:cs="Times New Roman"/>
          <w:color w:val="auto"/>
          <w:lang w:eastAsia="ja-JP"/>
        </w:rPr>
        <w:t>Output 1: Policy development and strategic coordination to enhance the enabling environment</w:t>
      </w:r>
    </w:p>
    <w:p w14:paraId="7312086D" w14:textId="77777777" w:rsidR="00035340" w:rsidRDefault="0040272B">
      <w:pPr>
        <w:pStyle w:val="Default"/>
        <w:numPr>
          <w:ilvl w:val="0"/>
          <w:numId w:val="8"/>
        </w:numPr>
        <w:jc w:val="both"/>
        <w:rPr>
          <w:rFonts w:ascii="Times New Roman" w:eastAsia="Times New Roman" w:hAnsi="Times New Roman" w:cs="Times New Roman"/>
          <w:color w:val="auto"/>
          <w:lang w:eastAsia="ja-JP"/>
        </w:rPr>
      </w:pPr>
      <w:r>
        <w:rPr>
          <w:rFonts w:ascii="Times New Roman" w:eastAsia="Times New Roman" w:hAnsi="Times New Roman" w:cs="Times New Roman"/>
          <w:color w:val="auto"/>
          <w:lang w:eastAsia="ja-JP"/>
        </w:rPr>
        <w:t>Output 2: Facilitation of the growth and long-term sustainability of the retail financial service providers (FSPs), so that they can increase their outreach to poor and low-income people; and</w:t>
      </w:r>
    </w:p>
    <w:p w14:paraId="15DA248D" w14:textId="77777777" w:rsidR="00035340" w:rsidRDefault="0040272B">
      <w:pPr>
        <w:pStyle w:val="Default"/>
        <w:numPr>
          <w:ilvl w:val="0"/>
          <w:numId w:val="8"/>
        </w:numPr>
        <w:jc w:val="both"/>
      </w:pPr>
      <w:r>
        <w:rPr>
          <w:rFonts w:ascii="Times New Roman" w:eastAsia="Times New Roman" w:hAnsi="Times New Roman" w:cs="Times New Roman"/>
          <w:color w:val="auto"/>
          <w:lang w:eastAsia="ja-JP"/>
        </w:rPr>
        <w:t>Output 3: Development of financial business support infrastructure (credit registry, audit, information technology, innovative technology, etc.)</w:t>
      </w:r>
    </w:p>
    <w:bookmarkEnd w:id="34"/>
    <w:bookmarkEnd w:id="35"/>
    <w:p w14:paraId="6CB8FEE0" w14:textId="77777777" w:rsidR="00035340" w:rsidRDefault="00035340">
      <w:pPr>
        <w:pStyle w:val="BodyText"/>
        <w:jc w:val="both"/>
        <w:rPr>
          <w:rFonts w:ascii="Times New Roman" w:hAnsi="Times New Roman" w:cs="Times New Roman"/>
          <w:sz w:val="24"/>
          <w:szCs w:val="24"/>
          <w:lang w:val="en-GB"/>
        </w:rPr>
      </w:pPr>
    </w:p>
    <w:p w14:paraId="1016C66C" w14:textId="77777777" w:rsidR="00035340" w:rsidRDefault="0040272B">
      <w:pPr>
        <w:pStyle w:val="Default"/>
        <w:jc w:val="both"/>
      </w:pPr>
      <w:r>
        <w:rPr>
          <w:rFonts w:ascii="Times New Roman" w:hAnsi="Times New Roman" w:cs="Times New Roman"/>
          <w:color w:val="auto"/>
          <w:u w:val="single"/>
          <w:lang w:val="en-GB" w:eastAsia="ja-JP"/>
        </w:rPr>
        <w:t xml:space="preserve">INFUSE </w:t>
      </w:r>
      <w:r w:rsidR="007F214E">
        <w:rPr>
          <w:rFonts w:ascii="Times New Roman" w:hAnsi="Times New Roman" w:cs="Times New Roman"/>
          <w:color w:val="auto"/>
          <w:u w:val="single"/>
          <w:lang w:val="en-GB" w:eastAsia="ja-JP"/>
        </w:rPr>
        <w:t>Programme</w:t>
      </w:r>
      <w:r>
        <w:rPr>
          <w:rFonts w:ascii="Times New Roman" w:hAnsi="Times New Roman" w:cs="Times New Roman"/>
          <w:color w:val="auto"/>
          <w:u w:val="single"/>
          <w:lang w:val="en-GB" w:eastAsia="ja-JP"/>
        </w:rPr>
        <w:t xml:space="preserve"> in relation with </w:t>
      </w:r>
      <w:r>
        <w:rPr>
          <w:rFonts w:ascii="Times New Roman" w:hAnsi="Times New Roman"/>
          <w:bCs/>
          <w:color w:val="auto"/>
          <w:u w:val="single"/>
        </w:rPr>
        <w:t>UN Development Assistance Framework</w:t>
      </w:r>
      <w:r>
        <w:rPr>
          <w:rFonts w:ascii="Times New Roman" w:hAnsi="Times New Roman" w:cs="Times New Roman"/>
          <w:color w:val="auto"/>
          <w:u w:val="single"/>
          <w:lang w:val="en-GB" w:eastAsia="ja-JP"/>
        </w:rPr>
        <w:t xml:space="preserve"> (UNDAF)</w:t>
      </w:r>
    </w:p>
    <w:p w14:paraId="54C6D834" w14:textId="77777777" w:rsidR="00035340" w:rsidRDefault="00035340">
      <w:pPr>
        <w:pStyle w:val="Default"/>
        <w:jc w:val="both"/>
        <w:rPr>
          <w:rFonts w:ascii="Times New Roman" w:hAnsi="Times New Roman" w:cs="Times New Roman"/>
          <w:color w:val="auto"/>
          <w:lang w:val="en-GB" w:eastAsia="ja-JP"/>
        </w:rPr>
      </w:pPr>
    </w:p>
    <w:p w14:paraId="6B611ADB" w14:textId="77777777" w:rsidR="00035340" w:rsidRDefault="0040272B">
      <w:pPr>
        <w:tabs>
          <w:tab w:val="left" w:pos="4680"/>
        </w:tabs>
        <w:jc w:val="both"/>
      </w:pPr>
      <w:r>
        <w:t xml:space="preserve">The expected outcome of the </w:t>
      </w:r>
      <w:r w:rsidR="007F214E">
        <w:t>programme</w:t>
      </w:r>
      <w:r>
        <w:t xml:space="preserve"> is that vulnerable groups will have improved access to </w:t>
      </w:r>
      <w:r>
        <w:rPr>
          <w:lang w:eastAsia="ja-JP"/>
        </w:rPr>
        <w:t>sustainable financial services</w:t>
      </w:r>
      <w:r>
        <w:t xml:space="preserve">. This is consistent with the </w:t>
      </w:r>
      <w:r>
        <w:rPr>
          <w:bCs/>
        </w:rPr>
        <w:t>UNDAF O</w:t>
      </w:r>
      <w:r>
        <w:rPr>
          <w:bCs/>
          <w:lang w:eastAsia="ja-JP"/>
        </w:rPr>
        <w:t xml:space="preserve">utcome </w:t>
      </w:r>
      <w:r>
        <w:rPr>
          <w:bCs/>
        </w:rPr>
        <w:t>2</w:t>
      </w:r>
      <w:r>
        <w:rPr>
          <w:bCs/>
          <w:lang w:eastAsia="ja-JP"/>
        </w:rPr>
        <w:t>: B</w:t>
      </w:r>
      <w:r>
        <w:rPr>
          <w:bCs/>
        </w:rPr>
        <w:t>y 2013, vulnerable groups experience significant improvement in sustainable livelihoods, poverty reduction and disaster risk management within an overarching crisis preventions and recovery context.</w:t>
      </w:r>
      <w:r>
        <w:rPr>
          <w:bCs/>
          <w:lang w:eastAsia="ja-JP"/>
        </w:rPr>
        <w:t xml:space="preserve"> The </w:t>
      </w:r>
      <w:r w:rsidR="007F214E">
        <w:rPr>
          <w:bCs/>
          <w:lang w:eastAsia="ja-JP"/>
        </w:rPr>
        <w:t>programme</w:t>
      </w:r>
      <w:r>
        <w:rPr>
          <w:bCs/>
          <w:lang w:eastAsia="ja-JP"/>
        </w:rPr>
        <w:t xml:space="preserve"> specifically relates to UNDAF sub-outcome 2.1.5: Microfinance institutions (MFIs) are capacitated to increase outreach to the low-income populations.</w:t>
      </w:r>
    </w:p>
    <w:p w14:paraId="075026D8" w14:textId="77777777" w:rsidR="00035340" w:rsidRDefault="00035340">
      <w:pPr>
        <w:tabs>
          <w:tab w:val="left" w:pos="4680"/>
        </w:tabs>
        <w:jc w:val="both"/>
        <w:rPr>
          <w:bCs/>
          <w:lang w:eastAsia="ja-JP"/>
        </w:rPr>
      </w:pPr>
    </w:p>
    <w:p w14:paraId="28EED382" w14:textId="77777777" w:rsidR="00035340" w:rsidRDefault="0040272B">
      <w:pPr>
        <w:tabs>
          <w:tab w:val="left" w:pos="4680"/>
        </w:tabs>
        <w:jc w:val="both"/>
      </w:pPr>
      <w:r>
        <w:rPr>
          <w:bCs/>
          <w:lang w:eastAsia="ja-JP"/>
        </w:rPr>
        <w:t xml:space="preserve">INFUSE objectives are also linked to the following Outcome and Output of United Nations Development </w:t>
      </w:r>
      <w:r w:rsidR="007F214E">
        <w:rPr>
          <w:bCs/>
          <w:lang w:eastAsia="ja-JP"/>
        </w:rPr>
        <w:t>Programme</w:t>
      </w:r>
      <w:r>
        <w:rPr>
          <w:bCs/>
          <w:lang w:eastAsia="ja-JP"/>
        </w:rPr>
        <w:t xml:space="preserve"> (UNDP) Country </w:t>
      </w:r>
      <w:r w:rsidR="007F214E">
        <w:rPr>
          <w:bCs/>
          <w:lang w:eastAsia="ja-JP"/>
        </w:rPr>
        <w:t>Programme</w:t>
      </w:r>
      <w:r w:rsidR="0061388C">
        <w:rPr>
          <w:bCs/>
          <w:lang w:eastAsia="ja-JP"/>
        </w:rPr>
        <w:t xml:space="preserve"> (2009 – 14</w:t>
      </w:r>
      <w:r>
        <w:rPr>
          <w:bCs/>
          <w:lang w:eastAsia="ja-JP"/>
        </w:rPr>
        <w:t>) in Timor-Leste:</w:t>
      </w:r>
    </w:p>
    <w:p w14:paraId="6D34EE0D" w14:textId="77777777" w:rsidR="00035340" w:rsidRDefault="0040272B">
      <w:pPr>
        <w:pStyle w:val="Default"/>
        <w:numPr>
          <w:ilvl w:val="0"/>
          <w:numId w:val="8"/>
        </w:numPr>
        <w:jc w:val="both"/>
        <w:rPr>
          <w:rFonts w:ascii="Times New Roman" w:eastAsia="Times New Roman" w:hAnsi="Times New Roman" w:cs="Times New Roman"/>
          <w:color w:val="auto"/>
          <w:lang w:eastAsia="ja-JP"/>
        </w:rPr>
      </w:pPr>
      <w:r>
        <w:rPr>
          <w:rFonts w:ascii="Times New Roman" w:eastAsia="Times New Roman" w:hAnsi="Times New Roman" w:cs="Times New Roman"/>
          <w:color w:val="auto"/>
          <w:lang w:eastAsia="ja-JP"/>
        </w:rPr>
        <w:t xml:space="preserve">Country </w:t>
      </w:r>
      <w:r w:rsidR="007F214E">
        <w:rPr>
          <w:rFonts w:ascii="Times New Roman" w:eastAsia="Times New Roman" w:hAnsi="Times New Roman" w:cs="Times New Roman"/>
          <w:color w:val="auto"/>
          <w:lang w:eastAsia="ja-JP"/>
        </w:rPr>
        <w:t>Programme</w:t>
      </w:r>
      <w:r>
        <w:rPr>
          <w:rFonts w:ascii="Times New Roman" w:eastAsia="Times New Roman" w:hAnsi="Times New Roman" w:cs="Times New Roman"/>
          <w:color w:val="auto"/>
          <w:lang w:eastAsia="ja-JP"/>
        </w:rPr>
        <w:t xml:space="preserve"> Outcome 3: Vulnerable groups have improved access to livelihoods</w:t>
      </w:r>
    </w:p>
    <w:p w14:paraId="229D6209" w14:textId="77777777" w:rsidR="00035340" w:rsidRDefault="0040272B">
      <w:pPr>
        <w:pStyle w:val="Default"/>
        <w:numPr>
          <w:ilvl w:val="0"/>
          <w:numId w:val="8"/>
        </w:numPr>
        <w:jc w:val="both"/>
      </w:pPr>
      <w:r>
        <w:rPr>
          <w:rFonts w:ascii="Times New Roman" w:eastAsia="Times New Roman" w:hAnsi="Times New Roman" w:cs="Times New Roman"/>
          <w:color w:val="auto"/>
          <w:lang w:eastAsia="ja-JP"/>
        </w:rPr>
        <w:lastRenderedPageBreak/>
        <w:t xml:space="preserve">Country </w:t>
      </w:r>
      <w:r w:rsidR="007F214E">
        <w:rPr>
          <w:rFonts w:ascii="Times New Roman" w:eastAsia="Times New Roman" w:hAnsi="Times New Roman" w:cs="Times New Roman"/>
          <w:color w:val="auto"/>
          <w:lang w:eastAsia="ja-JP"/>
        </w:rPr>
        <w:t>Programme</w:t>
      </w:r>
      <w:r>
        <w:rPr>
          <w:rFonts w:ascii="Times New Roman" w:eastAsia="Times New Roman" w:hAnsi="Times New Roman" w:cs="Times New Roman"/>
          <w:color w:val="auto"/>
          <w:lang w:eastAsia="ja-JP"/>
        </w:rPr>
        <w:t xml:space="preserve"> Output 3.1: Rural communities have microenterprises through improved access to microfinance and markets.</w:t>
      </w:r>
    </w:p>
    <w:p w14:paraId="0AC6A9BF" w14:textId="77777777" w:rsidR="00035340" w:rsidRDefault="00035340"/>
    <w:p w14:paraId="026AB9E4" w14:textId="77777777" w:rsidR="00035340" w:rsidRDefault="0040272B">
      <w:pPr>
        <w:pStyle w:val="Default"/>
        <w:jc w:val="both"/>
      </w:pPr>
      <w:r>
        <w:rPr>
          <w:rFonts w:ascii="Times New Roman" w:hAnsi="Times New Roman" w:cs="Times New Roman"/>
          <w:color w:val="auto"/>
          <w:u w:val="single"/>
          <w:lang w:val="en-GB" w:eastAsia="ja-JP"/>
        </w:rPr>
        <w:t xml:space="preserve">INFUSE </w:t>
      </w:r>
      <w:r w:rsidR="007F214E">
        <w:rPr>
          <w:rFonts w:ascii="Times New Roman" w:hAnsi="Times New Roman" w:cs="Times New Roman"/>
          <w:color w:val="auto"/>
          <w:u w:val="single"/>
          <w:lang w:val="en-GB" w:eastAsia="ja-JP"/>
        </w:rPr>
        <w:t>Programme</w:t>
      </w:r>
      <w:r>
        <w:rPr>
          <w:rFonts w:ascii="Times New Roman" w:hAnsi="Times New Roman" w:cs="Times New Roman"/>
          <w:color w:val="auto"/>
          <w:u w:val="single"/>
          <w:lang w:val="en-GB" w:eastAsia="ja-JP"/>
        </w:rPr>
        <w:t xml:space="preserve"> in relation with </w:t>
      </w:r>
      <w:r>
        <w:rPr>
          <w:rFonts w:ascii="Times New Roman" w:hAnsi="Times New Roman" w:cs="Times New Roman"/>
          <w:color w:val="auto"/>
          <w:u w:val="single"/>
          <w:lang w:eastAsia="ja-JP"/>
        </w:rPr>
        <w:t>Government of Timor-Leste (</w:t>
      </w:r>
      <w:r>
        <w:rPr>
          <w:rFonts w:ascii="Times New Roman" w:hAnsi="Times New Roman" w:cs="Times New Roman"/>
          <w:color w:val="auto"/>
          <w:u w:val="single"/>
          <w:lang w:val="en-GB" w:eastAsia="ja-JP"/>
        </w:rPr>
        <w:t>GoTL) National Plans and Priorities</w:t>
      </w:r>
    </w:p>
    <w:p w14:paraId="536A0777" w14:textId="77777777" w:rsidR="00035340" w:rsidRDefault="00035340">
      <w:pPr>
        <w:rPr>
          <w:rFonts w:ascii="Arial" w:hAnsi="Arial" w:cs="Calibri"/>
          <w:sz w:val="22"/>
          <w:szCs w:val="22"/>
        </w:rPr>
      </w:pPr>
    </w:p>
    <w:p w14:paraId="25AD3D72" w14:textId="77777777" w:rsidR="00035340" w:rsidRDefault="0040272B">
      <w:pPr>
        <w:spacing w:before="40"/>
        <w:jc w:val="both"/>
      </w:pPr>
      <w:r>
        <w:t xml:space="preserve">INFUSE objectives were incorporated into the  Government of Timor-Leste’s National Priorities 2011 framework, specifically within the National Priority # 2: </w:t>
      </w:r>
      <w:r>
        <w:rPr>
          <w:bCs/>
          <w:lang w:val="en-GB"/>
        </w:rPr>
        <w:t>Rural Development (Food and Nutrition Security and Sustainable Economic Development</w:t>
      </w:r>
      <w:r>
        <w:rPr>
          <w:b/>
          <w:bCs/>
          <w:lang w:val="en-GB"/>
        </w:rPr>
        <w:t>)</w:t>
      </w:r>
      <w:r>
        <w:t>. The relevant objective during 2011 is to deliver support to FSPs to increase access to microfinance services by an additional 10,000 clients, of which at least 50% are women, and increase diversity of financial products and services available.</w:t>
      </w:r>
    </w:p>
    <w:p w14:paraId="021B0766" w14:textId="77777777" w:rsidR="00FE41FD" w:rsidRDefault="00FE41FD">
      <w:pPr>
        <w:spacing w:before="40"/>
        <w:jc w:val="both"/>
      </w:pPr>
    </w:p>
    <w:p w14:paraId="61F78462" w14:textId="77777777" w:rsidR="00706241" w:rsidRDefault="00706241" w:rsidP="00706241">
      <w:pPr>
        <w:pStyle w:val="Heading1"/>
        <w:numPr>
          <w:ilvl w:val="0"/>
          <w:numId w:val="6"/>
        </w:numPr>
        <w:tabs>
          <w:tab w:val="left" w:pos="360"/>
        </w:tabs>
        <w:suppressAutoHyphens w:val="0"/>
        <w:ind w:left="360" w:hanging="360"/>
        <w:jc w:val="left"/>
        <w:textAlignment w:val="auto"/>
        <w:rPr>
          <w:rFonts w:ascii="Times New Roman" w:hAnsi="Times New Roman"/>
          <w:sz w:val="24"/>
          <w:szCs w:val="24"/>
        </w:rPr>
      </w:pPr>
      <w:bookmarkStart w:id="36" w:name="_Toc384220799"/>
      <w:commentRangeStart w:id="37"/>
      <w:r>
        <w:rPr>
          <w:rFonts w:ascii="Times New Roman" w:hAnsi="Times New Roman"/>
          <w:sz w:val="24"/>
          <w:szCs w:val="24"/>
        </w:rPr>
        <w:t>Results</w:t>
      </w:r>
      <w:bookmarkEnd w:id="36"/>
      <w:r>
        <w:rPr>
          <w:rFonts w:ascii="Times New Roman" w:hAnsi="Times New Roman"/>
          <w:sz w:val="24"/>
          <w:szCs w:val="24"/>
        </w:rPr>
        <w:t xml:space="preserve"> </w:t>
      </w:r>
      <w:commentRangeEnd w:id="37"/>
      <w:r w:rsidR="00F62C22">
        <w:rPr>
          <w:rStyle w:val="CommentReference"/>
          <w:rFonts w:ascii="Times New Roman" w:hAnsi="Times New Roman"/>
          <w:b w:val="0"/>
          <w:bCs w:val="0"/>
        </w:rPr>
        <w:commentReference w:id="37"/>
      </w:r>
    </w:p>
    <w:p w14:paraId="6F9E8382" w14:textId="77777777" w:rsidR="00706241" w:rsidRDefault="00706241" w:rsidP="00706241">
      <w:bookmarkStart w:id="38" w:name="_Toc249364484"/>
      <w:bookmarkStart w:id="39" w:name="_Toc288467976"/>
      <w:bookmarkStart w:id="40" w:name="_Toc288468704"/>
      <w:bookmarkStart w:id="41" w:name="_Toc288486043"/>
      <w:bookmarkStart w:id="42" w:name="_Toc317679012"/>
    </w:p>
    <w:p w14:paraId="2F281640" w14:textId="77777777" w:rsidR="00706241" w:rsidRDefault="00706241" w:rsidP="00706241">
      <w:pPr>
        <w:pBdr>
          <w:top w:val="single" w:sz="4" w:space="0" w:color="000000"/>
          <w:left w:val="single" w:sz="4" w:space="0" w:color="000000"/>
          <w:bottom w:val="single" w:sz="4" w:space="0" w:color="000000"/>
          <w:right w:val="single" w:sz="4" w:space="0" w:color="000000"/>
        </w:pBdr>
        <w:shd w:val="clear" w:color="auto" w:fill="CCCCCC"/>
        <w:jc w:val="both"/>
      </w:pPr>
      <w:r>
        <w:rPr>
          <w:b/>
          <w:bCs/>
        </w:rPr>
        <w:t xml:space="preserve">OUTPUT 1: </w:t>
      </w:r>
      <w:r>
        <w:rPr>
          <w:b/>
          <w:caps/>
        </w:rPr>
        <w:t>ACHIEVING A POLICY</w:t>
      </w:r>
      <w:r>
        <w:rPr>
          <w:b/>
          <w:caps/>
          <w:lang w:eastAsia="ja-JP"/>
        </w:rPr>
        <w:t xml:space="preserve"> </w:t>
      </w:r>
      <w:r>
        <w:rPr>
          <w:b/>
          <w:caps/>
        </w:rPr>
        <w:t>/</w:t>
      </w:r>
      <w:r>
        <w:rPr>
          <w:b/>
          <w:caps/>
          <w:lang w:eastAsia="ja-JP"/>
        </w:rPr>
        <w:t xml:space="preserve"> </w:t>
      </w:r>
      <w:r>
        <w:rPr>
          <w:b/>
          <w:caps/>
        </w:rPr>
        <w:t>VISION STATEMENT</w:t>
      </w:r>
      <w:r>
        <w:rPr>
          <w:b/>
          <w:caps/>
          <w:lang w:eastAsia="ja-JP"/>
        </w:rPr>
        <w:t xml:space="preserve"> </w:t>
      </w:r>
    </w:p>
    <w:p w14:paraId="2FEA7130" w14:textId="77777777" w:rsidR="00706241" w:rsidRDefault="00706241" w:rsidP="00706241">
      <w:pPr>
        <w:pStyle w:val="Default"/>
        <w:ind w:left="1080"/>
        <w:jc w:val="both"/>
        <w:rPr>
          <w:rFonts w:ascii="Times New Roman" w:hAnsi="Times New Roman" w:cs="Times New Roman"/>
          <w:b/>
          <w:bCs/>
          <w:color w:val="auto"/>
          <w:lang w:val="en-GB" w:eastAsia="ja-JP"/>
        </w:rPr>
      </w:pPr>
    </w:p>
    <w:p w14:paraId="50051368" w14:textId="77777777" w:rsidR="00706241" w:rsidRDefault="00706241" w:rsidP="00706241">
      <w:pPr>
        <w:pStyle w:val="Default"/>
        <w:pBdr>
          <w:top w:val="single" w:sz="4" w:space="0" w:color="000000"/>
          <w:left w:val="single" w:sz="4" w:space="0" w:color="000000"/>
          <w:bottom w:val="single" w:sz="4" w:space="0" w:color="000000"/>
          <w:right w:val="single" w:sz="4" w:space="0" w:color="000000"/>
        </w:pBdr>
        <w:shd w:val="clear" w:color="auto" w:fill="F3F3F3"/>
        <w:jc w:val="both"/>
      </w:pPr>
      <w:r>
        <w:rPr>
          <w:rFonts w:ascii="Times New Roman" w:hAnsi="Times New Roman" w:cs="Times New Roman"/>
          <w:b/>
          <w:i/>
          <w:color w:val="auto"/>
          <w:lang w:val="en-GB"/>
        </w:rPr>
        <w:t>A national policy/vision statement for inclusive finance is developed, consulted and adopted by GoTL, and enabling legislation is in place to support the expansion and consolidation of the financial sector. Coherent, effective and synergetic donor funding based on the national policy framework has been provided.</w:t>
      </w:r>
    </w:p>
    <w:p w14:paraId="6DC655DE" w14:textId="77777777" w:rsidR="00706241" w:rsidRDefault="00706241" w:rsidP="00706241"/>
    <w:p w14:paraId="6CD924B9" w14:textId="77777777" w:rsidR="00706241" w:rsidRDefault="00706241" w:rsidP="00706241">
      <w:r>
        <w:rPr>
          <w:rFonts w:eastAsia="MS Mincho"/>
          <w:i/>
        </w:rPr>
        <w:t xml:space="preserve">The following key activities </w:t>
      </w:r>
      <w:r w:rsidR="006B7ECE">
        <w:rPr>
          <w:rFonts w:eastAsia="MS Mincho"/>
          <w:i/>
        </w:rPr>
        <w:t xml:space="preserve">were </w:t>
      </w:r>
      <w:r>
        <w:rPr>
          <w:rFonts w:eastAsia="MS Mincho"/>
          <w:i/>
        </w:rPr>
        <w:t>implemented in support of Outpu</w:t>
      </w:r>
      <w:r w:rsidR="00A348F7">
        <w:rPr>
          <w:rFonts w:eastAsia="MS Mincho"/>
          <w:i/>
        </w:rPr>
        <w:t xml:space="preserve">t 1 </w:t>
      </w:r>
      <w:del w:id="43" w:author="Fiona Bayat" w:date="2015-04-21T09:09:00Z">
        <w:r w:rsidR="00A348F7" w:rsidDel="00F62C22">
          <w:rPr>
            <w:rFonts w:eastAsia="MS Mincho"/>
            <w:i/>
          </w:rPr>
          <w:delText>over January – December 2014</w:delText>
        </w:r>
        <w:r w:rsidDel="00F62C22">
          <w:rPr>
            <w:rFonts w:eastAsia="MS Mincho"/>
            <w:i/>
          </w:rPr>
          <w:delText>:</w:delText>
        </w:r>
      </w:del>
    </w:p>
    <w:p w14:paraId="6162CFCE" w14:textId="77777777" w:rsidR="00706241" w:rsidRDefault="00706241" w:rsidP="00706241">
      <w:pPr>
        <w:jc w:val="both"/>
        <w:rPr>
          <w:lang w:eastAsia="ja-JP"/>
        </w:rPr>
      </w:pPr>
    </w:p>
    <w:p w14:paraId="26CB02C1" w14:textId="77777777" w:rsidR="00706241" w:rsidRDefault="00706241" w:rsidP="00706241">
      <w:pPr>
        <w:numPr>
          <w:ilvl w:val="0"/>
          <w:numId w:val="13"/>
        </w:numPr>
        <w:suppressAutoHyphens w:val="0"/>
        <w:autoSpaceDE w:val="0"/>
        <w:jc w:val="both"/>
        <w:textAlignment w:val="auto"/>
        <w:rPr>
          <w:lang w:eastAsia="ja-JP"/>
        </w:rPr>
      </w:pPr>
      <w:r w:rsidRPr="008D765D">
        <w:rPr>
          <w:lang w:eastAsia="ja-JP"/>
        </w:rPr>
        <w:t>INFUSE provided substantive inputs on financial inclusion strategies in the Draft 10-year Financial Sector Development Ma</w:t>
      </w:r>
      <w:r w:rsidR="00ED6A9C">
        <w:rPr>
          <w:lang w:eastAsia="ja-JP"/>
        </w:rPr>
        <w:t>ster Plan</w:t>
      </w:r>
      <w:r w:rsidRPr="008D765D">
        <w:rPr>
          <w:lang w:eastAsia="ja-JP"/>
        </w:rPr>
        <w:t xml:space="preserve">. INFUSE comments to </w:t>
      </w:r>
      <w:r w:rsidR="00ED6A9C">
        <w:rPr>
          <w:lang w:eastAsia="ja-JP"/>
        </w:rPr>
        <w:t xml:space="preserve">the draft </w:t>
      </w:r>
      <w:r w:rsidR="00824C43">
        <w:rPr>
          <w:lang w:eastAsia="ja-JP"/>
        </w:rPr>
        <w:t xml:space="preserve">were </w:t>
      </w:r>
      <w:r w:rsidRPr="008D765D">
        <w:rPr>
          <w:lang w:eastAsia="ja-JP"/>
        </w:rPr>
        <w:t>pub</w:t>
      </w:r>
      <w:r w:rsidR="00824C43">
        <w:rPr>
          <w:lang w:eastAsia="ja-JP"/>
        </w:rPr>
        <w:t xml:space="preserve">lished on the BCTL website and the final publication of the </w:t>
      </w:r>
      <w:r w:rsidR="00815FB6">
        <w:rPr>
          <w:lang w:eastAsia="ja-JP"/>
        </w:rPr>
        <w:t>Master Plan. INFUSE CTA was invited by BCTL to attend a ceremony for its publication and INFUSE’s contribution was acknowledged.</w:t>
      </w:r>
    </w:p>
    <w:p w14:paraId="553575B0" w14:textId="77777777" w:rsidR="00815FB6" w:rsidRPr="00C8184D" w:rsidRDefault="00815FB6" w:rsidP="00706241">
      <w:pPr>
        <w:numPr>
          <w:ilvl w:val="0"/>
          <w:numId w:val="13"/>
        </w:numPr>
        <w:suppressAutoHyphens w:val="0"/>
        <w:autoSpaceDE w:val="0"/>
        <w:jc w:val="both"/>
        <w:textAlignment w:val="auto"/>
        <w:rPr>
          <w:lang w:eastAsia="ja-JP"/>
        </w:rPr>
      </w:pPr>
      <w:r>
        <w:rPr>
          <w:lang w:eastAsia="ja-JP"/>
        </w:rPr>
        <w:t>INFUSE was asked to provide feedback on the draft Payments System Law to be enacted in 2015.</w:t>
      </w:r>
      <w:r w:rsidR="000278ED">
        <w:rPr>
          <w:lang w:eastAsia="ja-JP"/>
        </w:rPr>
        <w:t xml:space="preserve"> Feedback was given.</w:t>
      </w:r>
    </w:p>
    <w:p w14:paraId="7EF0B707" w14:textId="77777777" w:rsidR="00706241" w:rsidRPr="008067D2" w:rsidRDefault="00706241" w:rsidP="00706241">
      <w:pPr>
        <w:pStyle w:val="BodyText"/>
        <w:numPr>
          <w:ilvl w:val="0"/>
          <w:numId w:val="13"/>
        </w:numPr>
        <w:suppressAutoHyphens w:val="0"/>
        <w:jc w:val="both"/>
        <w:textAlignment w:val="auto"/>
        <w:rPr>
          <w:rFonts w:ascii="Times New Roman" w:hAnsi="Times New Roman" w:cs="Times New Roman"/>
          <w:sz w:val="24"/>
          <w:szCs w:val="24"/>
          <w:lang w:eastAsia="ja-JP"/>
        </w:rPr>
      </w:pPr>
      <w:r>
        <w:rPr>
          <w:rFonts w:ascii="Times New Roman" w:hAnsi="Times New Roman" w:cs="Times New Roman"/>
          <w:sz w:val="24"/>
          <w:szCs w:val="24"/>
          <w:lang w:eastAsia="ja-JP"/>
        </w:rPr>
        <w:t>INFUSE</w:t>
      </w:r>
      <w:r w:rsidR="00815FB6">
        <w:rPr>
          <w:rFonts w:ascii="Times New Roman" w:hAnsi="Times New Roman" w:cs="Times New Roman"/>
          <w:sz w:val="24"/>
          <w:szCs w:val="24"/>
          <w:lang w:eastAsia="ja-JP"/>
        </w:rPr>
        <w:t xml:space="preserve"> provided regulatory </w:t>
      </w:r>
      <w:r w:rsidR="00ED6A9C">
        <w:rPr>
          <w:rFonts w:ascii="Times New Roman" w:hAnsi="Times New Roman" w:cs="Times New Roman"/>
          <w:sz w:val="24"/>
          <w:szCs w:val="24"/>
          <w:lang w:eastAsia="ja-JP"/>
        </w:rPr>
        <w:t>advice</w:t>
      </w:r>
      <w:r w:rsidR="00815FB6">
        <w:rPr>
          <w:rFonts w:ascii="Times New Roman" w:hAnsi="Times New Roman" w:cs="Times New Roman"/>
          <w:sz w:val="24"/>
          <w:szCs w:val="24"/>
          <w:lang w:eastAsia="ja-JP"/>
        </w:rPr>
        <w:t xml:space="preserve"> to consultants hired by BCTL to draft laws on agency banking.</w:t>
      </w:r>
      <w:r>
        <w:rPr>
          <w:rFonts w:ascii="Times New Roman" w:hAnsi="Times New Roman" w:cs="Times New Roman"/>
          <w:sz w:val="24"/>
          <w:szCs w:val="24"/>
          <w:lang w:eastAsia="ja-JP"/>
        </w:rPr>
        <w:t xml:space="preserve"> </w:t>
      </w:r>
    </w:p>
    <w:p w14:paraId="73AA7C6E" w14:textId="77777777" w:rsidR="008C6FEA" w:rsidRDefault="00706241" w:rsidP="00706241">
      <w:pPr>
        <w:numPr>
          <w:ilvl w:val="0"/>
          <w:numId w:val="13"/>
        </w:numPr>
        <w:suppressAutoHyphens w:val="0"/>
        <w:jc w:val="both"/>
        <w:textAlignment w:val="auto"/>
        <w:rPr>
          <w:lang w:eastAsia="ja-JP"/>
        </w:rPr>
      </w:pPr>
      <w:r>
        <w:t>INFUSE started in November</w:t>
      </w:r>
      <w:r w:rsidR="009B69CC">
        <w:t xml:space="preserve"> 2013</w:t>
      </w:r>
      <w:r>
        <w:t xml:space="preserve"> an ambitious exercise of mapping financial inclusion – seeking to measure the percentage of adults and households with access to financial services for each suco. </w:t>
      </w:r>
      <w:r w:rsidR="008C6FEA">
        <w:t xml:space="preserve">In March </w:t>
      </w:r>
      <w:r w:rsidR="009B69CC">
        <w:t xml:space="preserve">2014, the map of financial services access points was published. </w:t>
      </w:r>
      <w:r>
        <w:t xml:space="preserve">This information </w:t>
      </w:r>
      <w:r>
        <w:rPr>
          <w:lang w:eastAsia="ja-JP"/>
        </w:rPr>
        <w:t>enable</w:t>
      </w:r>
      <w:r w:rsidR="00C020DD">
        <w:rPr>
          <w:lang w:eastAsia="ja-JP"/>
        </w:rPr>
        <w:t>s</w:t>
      </w:r>
      <w:r>
        <w:rPr>
          <w:lang w:eastAsia="ja-JP"/>
        </w:rPr>
        <w:t xml:space="preserve"> comparison with the 2009 baseline to determine changes in financial access at suco level. All ‘providers’ of financial services are encompassed in this survey: commercial banks, MFIs, financial cooperatives, savings groups. </w:t>
      </w:r>
    </w:p>
    <w:p w14:paraId="6E746F96" w14:textId="77777777" w:rsidR="00706241" w:rsidRDefault="00706241" w:rsidP="00706241">
      <w:pPr>
        <w:numPr>
          <w:ilvl w:val="0"/>
          <w:numId w:val="13"/>
        </w:numPr>
        <w:suppressAutoHyphens w:val="0"/>
        <w:jc w:val="both"/>
        <w:textAlignment w:val="auto"/>
        <w:rPr>
          <w:lang w:eastAsia="ja-JP"/>
        </w:rPr>
      </w:pPr>
      <w:r>
        <w:rPr>
          <w:lang w:eastAsia="ja-JP"/>
        </w:rPr>
        <w:t xml:space="preserve">INFUSE </w:t>
      </w:r>
      <w:r w:rsidR="008C6FEA">
        <w:rPr>
          <w:lang w:eastAsia="ja-JP"/>
        </w:rPr>
        <w:t xml:space="preserve">produced </w:t>
      </w:r>
      <w:r w:rsidR="00BA7DAE">
        <w:rPr>
          <w:lang w:eastAsia="ja-JP"/>
        </w:rPr>
        <w:t xml:space="preserve">the Financial Services Sector Assessment (FSSA) to </w:t>
      </w:r>
      <w:r w:rsidR="001322C8">
        <w:rPr>
          <w:lang w:eastAsia="ja-JP"/>
        </w:rPr>
        <w:t xml:space="preserve">outline the financial services sector in Timor-Leste at a Macro, Meso and Micro level. </w:t>
      </w:r>
      <w:r w:rsidR="00C865CD">
        <w:rPr>
          <w:lang w:eastAsia="ja-JP"/>
        </w:rPr>
        <w:t>The report covered existing regulatory frameworks and provided recommendations on a policy level for BCTL</w:t>
      </w:r>
      <w:r w:rsidR="00D67E5A">
        <w:rPr>
          <w:lang w:eastAsia="ja-JP"/>
        </w:rPr>
        <w:t xml:space="preserve"> and government. These included</w:t>
      </w:r>
      <w:r w:rsidR="001763AE">
        <w:rPr>
          <w:lang w:eastAsia="ja-JP"/>
        </w:rPr>
        <w:t xml:space="preserve"> creating</w:t>
      </w:r>
      <w:r w:rsidR="00D67E5A">
        <w:rPr>
          <w:lang w:eastAsia="ja-JP"/>
        </w:rPr>
        <w:t>:</w:t>
      </w:r>
    </w:p>
    <w:p w14:paraId="03E9AF6D" w14:textId="77777777" w:rsidR="00D67E5A" w:rsidRDefault="001763AE" w:rsidP="00D67E5A">
      <w:pPr>
        <w:numPr>
          <w:ilvl w:val="1"/>
          <w:numId w:val="13"/>
        </w:numPr>
        <w:suppressAutoHyphens w:val="0"/>
        <w:jc w:val="both"/>
        <w:textAlignment w:val="auto"/>
        <w:rPr>
          <w:lang w:eastAsia="ja-JP"/>
        </w:rPr>
      </w:pPr>
      <w:r>
        <w:rPr>
          <w:lang w:eastAsia="ja-JP"/>
        </w:rPr>
        <w:t>an enabling environment for credit</w:t>
      </w:r>
    </w:p>
    <w:p w14:paraId="36FBABA9" w14:textId="77777777" w:rsidR="001763AE" w:rsidRDefault="001763AE" w:rsidP="00D67E5A">
      <w:pPr>
        <w:numPr>
          <w:ilvl w:val="1"/>
          <w:numId w:val="13"/>
        </w:numPr>
        <w:suppressAutoHyphens w:val="0"/>
        <w:jc w:val="both"/>
        <w:textAlignment w:val="auto"/>
        <w:rPr>
          <w:lang w:eastAsia="ja-JP"/>
        </w:rPr>
      </w:pPr>
      <w:r>
        <w:rPr>
          <w:lang w:eastAsia="ja-JP"/>
        </w:rPr>
        <w:t>effective consumer protection regime</w:t>
      </w:r>
    </w:p>
    <w:p w14:paraId="6FF53BAC" w14:textId="77777777" w:rsidR="001763AE" w:rsidRDefault="001763AE" w:rsidP="00D67E5A">
      <w:pPr>
        <w:numPr>
          <w:ilvl w:val="1"/>
          <w:numId w:val="13"/>
        </w:numPr>
        <w:suppressAutoHyphens w:val="0"/>
        <w:jc w:val="both"/>
        <w:textAlignment w:val="auto"/>
        <w:rPr>
          <w:lang w:eastAsia="ja-JP"/>
        </w:rPr>
      </w:pPr>
      <w:r>
        <w:rPr>
          <w:lang w:eastAsia="ja-JP"/>
        </w:rPr>
        <w:t>better financial literacy coordination</w:t>
      </w:r>
    </w:p>
    <w:p w14:paraId="2DFF280D" w14:textId="77777777" w:rsidR="008F7A5F" w:rsidRDefault="001763AE" w:rsidP="00173EF6">
      <w:pPr>
        <w:numPr>
          <w:ilvl w:val="1"/>
          <w:numId w:val="13"/>
        </w:numPr>
        <w:suppressAutoHyphens w:val="0"/>
        <w:jc w:val="both"/>
        <w:textAlignment w:val="auto"/>
        <w:rPr>
          <w:lang w:eastAsia="ja-JP"/>
        </w:rPr>
      </w:pPr>
      <w:r>
        <w:rPr>
          <w:lang w:eastAsia="ja-JP"/>
        </w:rPr>
        <w:t xml:space="preserve">a </w:t>
      </w:r>
      <w:r w:rsidR="003640CD">
        <w:rPr>
          <w:lang w:eastAsia="ja-JP"/>
        </w:rPr>
        <w:t xml:space="preserve">comprehensive and standardized </w:t>
      </w:r>
      <w:r w:rsidR="008F7A5F">
        <w:rPr>
          <w:lang w:eastAsia="ja-JP"/>
        </w:rPr>
        <w:t xml:space="preserve">financial sector </w:t>
      </w:r>
      <w:r w:rsidR="003640CD">
        <w:rPr>
          <w:lang w:eastAsia="ja-JP"/>
        </w:rPr>
        <w:t>database</w:t>
      </w:r>
    </w:p>
    <w:p w14:paraId="30B04A39" w14:textId="77777777" w:rsidR="00173EF6" w:rsidRDefault="00173EF6" w:rsidP="00173EF6">
      <w:pPr>
        <w:pStyle w:val="ListParagraph"/>
        <w:numPr>
          <w:ilvl w:val="0"/>
          <w:numId w:val="29"/>
        </w:numPr>
        <w:suppressAutoHyphens w:val="0"/>
        <w:jc w:val="both"/>
        <w:textAlignment w:val="auto"/>
        <w:rPr>
          <w:lang w:eastAsia="ja-JP"/>
        </w:rPr>
      </w:pPr>
      <w:r>
        <w:rPr>
          <w:lang w:val="en-GB" w:eastAsia="ja-JP"/>
        </w:rPr>
        <w:t>P</w:t>
      </w:r>
      <w:r w:rsidRPr="00173EF6">
        <w:rPr>
          <w:lang w:val="en-GB" w:eastAsia="ja-JP"/>
        </w:rPr>
        <w:t xml:space="preserve">olicy makers and financial service providers </w:t>
      </w:r>
      <w:r w:rsidR="00F91891">
        <w:rPr>
          <w:lang w:val="en-GB" w:eastAsia="ja-JP"/>
        </w:rPr>
        <w:t>were advised to</w:t>
      </w:r>
      <w:r w:rsidRPr="00173EF6">
        <w:rPr>
          <w:lang w:val="en-GB" w:eastAsia="ja-JP"/>
        </w:rPr>
        <w:t xml:space="preserve"> be cognizant of the issues related to marginalised sections of the society </w:t>
      </w:r>
      <w:r w:rsidRPr="00173EF6">
        <w:rPr>
          <w:bCs/>
          <w:lang w:val="en-GB" w:eastAsia="ja-JP"/>
        </w:rPr>
        <w:t>especially women in the design and delivery of financial services initiatives.</w:t>
      </w:r>
    </w:p>
    <w:p w14:paraId="761C3BD4" w14:textId="77777777" w:rsidR="00817BC9" w:rsidRDefault="00817BC9" w:rsidP="002D15AE">
      <w:pPr>
        <w:suppressAutoHyphens w:val="0"/>
        <w:autoSpaceDN/>
        <w:textAlignment w:val="auto"/>
      </w:pPr>
      <w:r>
        <w:br w:type="page"/>
      </w:r>
    </w:p>
    <w:p w14:paraId="34302D07" w14:textId="77777777" w:rsidR="002D15AE" w:rsidRDefault="002D15AE" w:rsidP="002D15AE">
      <w:pPr>
        <w:suppressAutoHyphens w:val="0"/>
        <w:autoSpaceDN/>
        <w:textAlignment w:val="auto"/>
      </w:pPr>
    </w:p>
    <w:p w14:paraId="373C2682" w14:textId="77777777" w:rsidR="00706241" w:rsidRDefault="00A22AD4" w:rsidP="00706241">
      <w:pPr>
        <w:pBdr>
          <w:top w:val="single" w:sz="4" w:space="0" w:color="000000"/>
          <w:left w:val="single" w:sz="4" w:space="0" w:color="000000"/>
          <w:bottom w:val="single" w:sz="4" w:space="0" w:color="000000"/>
          <w:right w:val="single" w:sz="4" w:space="0" w:color="000000"/>
        </w:pBdr>
        <w:shd w:val="clear" w:color="auto" w:fill="CCCCCC"/>
        <w:jc w:val="both"/>
        <w:rPr>
          <w:b/>
          <w:lang w:eastAsia="ja-JP"/>
        </w:rPr>
      </w:pPr>
      <w:r w:rsidRPr="00A22AD4">
        <w:rPr>
          <w:b/>
          <w:lang w:eastAsia="ja-JP"/>
        </w:rPr>
        <w:t>OUTPUT 2: INCREASED OUTREACH OF SUSTAINABLE FINANCIAL SERVICES</w:t>
      </w:r>
    </w:p>
    <w:p w14:paraId="199E0F36" w14:textId="77777777" w:rsidR="00706241" w:rsidRDefault="00706241" w:rsidP="00706241">
      <w:pPr>
        <w:pStyle w:val="Default"/>
        <w:jc w:val="both"/>
        <w:rPr>
          <w:rFonts w:ascii="Times New Roman" w:hAnsi="Times New Roman" w:cs="Times New Roman"/>
          <w:b/>
          <w:color w:val="auto"/>
          <w:lang w:val="en-GB" w:eastAsia="ja-JP"/>
        </w:rPr>
      </w:pPr>
    </w:p>
    <w:p w14:paraId="5FBA571E" w14:textId="77777777" w:rsidR="00706241" w:rsidRDefault="00706241" w:rsidP="00706241">
      <w:pPr>
        <w:pBdr>
          <w:top w:val="single" w:sz="4" w:space="0" w:color="000000"/>
          <w:left w:val="single" w:sz="4" w:space="0" w:color="000000"/>
          <w:bottom w:val="single" w:sz="4" w:space="0" w:color="000000"/>
          <w:right w:val="single" w:sz="4" w:space="0" w:color="000000"/>
        </w:pBdr>
        <w:shd w:val="clear" w:color="auto" w:fill="F3F3F3"/>
        <w:jc w:val="both"/>
        <w:rPr>
          <w:b/>
          <w:i/>
          <w:lang w:eastAsia="ja-JP"/>
        </w:rPr>
      </w:pPr>
    </w:p>
    <w:p w14:paraId="0AAD0533" w14:textId="77777777" w:rsidR="00706241" w:rsidRPr="00817BC9" w:rsidRDefault="00706241" w:rsidP="00706241">
      <w:pPr>
        <w:pBdr>
          <w:top w:val="single" w:sz="4" w:space="0" w:color="000000"/>
          <w:left w:val="single" w:sz="4" w:space="0" w:color="000000"/>
          <w:bottom w:val="single" w:sz="4" w:space="0" w:color="000000"/>
          <w:right w:val="single" w:sz="4" w:space="0" w:color="000000"/>
        </w:pBdr>
        <w:shd w:val="clear" w:color="auto" w:fill="F3F3F3"/>
        <w:jc w:val="both"/>
      </w:pPr>
      <w:r>
        <w:rPr>
          <w:b/>
          <w:i/>
        </w:rPr>
        <w:t xml:space="preserve">Good practice-based Financial Services Providers (FSPs) serving primarily the poor and low-income market make progress towards sustainability and increase their outreach, while maintaining a high portfolio quality. </w:t>
      </w:r>
    </w:p>
    <w:p w14:paraId="2AAD2D33" w14:textId="77777777" w:rsidR="00706241" w:rsidRDefault="00706241" w:rsidP="00706241">
      <w:pPr>
        <w:pStyle w:val="Default"/>
        <w:jc w:val="both"/>
        <w:rPr>
          <w:rFonts w:ascii="Times New Roman" w:hAnsi="Times New Roman" w:cs="Times New Roman"/>
          <w:i/>
          <w:color w:val="auto"/>
          <w:u w:val="single"/>
          <w:lang w:val="en-GB" w:eastAsia="ja-JP"/>
        </w:rPr>
      </w:pPr>
    </w:p>
    <w:p w14:paraId="50ABD5CB" w14:textId="77777777" w:rsidR="00706241" w:rsidRDefault="00706241" w:rsidP="00706241">
      <w:r>
        <w:rPr>
          <w:rFonts w:eastAsia="MS Mincho"/>
          <w:i/>
        </w:rPr>
        <w:t xml:space="preserve">The following key activities </w:t>
      </w:r>
      <w:r w:rsidR="00A22AD4">
        <w:rPr>
          <w:rFonts w:eastAsia="MS Mincho"/>
          <w:i/>
        </w:rPr>
        <w:t xml:space="preserve">were </w:t>
      </w:r>
      <w:r>
        <w:rPr>
          <w:rFonts w:eastAsia="MS Mincho"/>
          <w:i/>
        </w:rPr>
        <w:t>implemented in support of Outpu</w:t>
      </w:r>
      <w:r w:rsidR="00C84290">
        <w:rPr>
          <w:rFonts w:eastAsia="MS Mincho"/>
          <w:i/>
        </w:rPr>
        <w:t xml:space="preserve">t 2 </w:t>
      </w:r>
      <w:del w:id="44" w:author="Fiona Bayat" w:date="2015-04-21T09:10:00Z">
        <w:r w:rsidR="00C84290" w:rsidDel="00F62C22">
          <w:rPr>
            <w:rFonts w:eastAsia="MS Mincho"/>
            <w:i/>
          </w:rPr>
          <w:delText>over January – December 2014</w:delText>
        </w:r>
        <w:r w:rsidDel="00F62C22">
          <w:rPr>
            <w:rFonts w:eastAsia="MS Mincho"/>
            <w:i/>
          </w:rPr>
          <w:delText>:</w:delText>
        </w:r>
      </w:del>
      <w:r>
        <w:rPr>
          <w:rFonts w:eastAsia="MS Mincho"/>
          <w:i/>
        </w:rPr>
        <w:br/>
      </w:r>
    </w:p>
    <w:p w14:paraId="6B35A589" w14:textId="77777777" w:rsidR="00706241" w:rsidRDefault="00386894" w:rsidP="00706241">
      <w:pPr>
        <w:tabs>
          <w:tab w:val="left" w:pos="360"/>
        </w:tabs>
        <w:suppressAutoHyphens w:val="0"/>
        <w:autoSpaceDE w:val="0"/>
        <w:jc w:val="both"/>
        <w:textAlignment w:val="auto"/>
        <w:rPr>
          <w:lang w:eastAsia="ja-JP"/>
        </w:rPr>
      </w:pPr>
      <w:r>
        <w:rPr>
          <w:lang w:eastAsia="ja-JP"/>
        </w:rPr>
        <w:t>At the February</w:t>
      </w:r>
      <w:r w:rsidR="00706241">
        <w:rPr>
          <w:lang w:eastAsia="ja-JP"/>
        </w:rPr>
        <w:t xml:space="preserve"> MCIF meeting, </w:t>
      </w:r>
      <w:r w:rsidR="00094ECA">
        <w:rPr>
          <w:lang w:eastAsia="ja-JP"/>
        </w:rPr>
        <w:t xml:space="preserve">the decision was made that INFUSE should provide technical assistance to BNU to </w:t>
      </w:r>
      <w:r w:rsidR="00F77036">
        <w:rPr>
          <w:lang w:eastAsia="ja-JP"/>
        </w:rPr>
        <w:t>design and implement a branchless</w:t>
      </w:r>
      <w:r w:rsidR="000D10BF">
        <w:rPr>
          <w:lang w:eastAsia="ja-JP"/>
        </w:rPr>
        <w:t xml:space="preserve"> banking or mobile money pilot. </w:t>
      </w:r>
    </w:p>
    <w:p w14:paraId="041C5BFB" w14:textId="77777777" w:rsidR="00AD280C" w:rsidRDefault="00AD280C" w:rsidP="00706241">
      <w:pPr>
        <w:tabs>
          <w:tab w:val="left" w:pos="360"/>
        </w:tabs>
        <w:suppressAutoHyphens w:val="0"/>
        <w:autoSpaceDE w:val="0"/>
        <w:jc w:val="both"/>
        <w:textAlignment w:val="auto"/>
        <w:rPr>
          <w:lang w:eastAsia="ja-JP"/>
        </w:rPr>
      </w:pPr>
    </w:p>
    <w:p w14:paraId="4F014C2D" w14:textId="77777777" w:rsidR="000D10BF" w:rsidRPr="000D10BF" w:rsidRDefault="000D10BF" w:rsidP="000D10BF">
      <w:pPr>
        <w:pStyle w:val="ListParagraph"/>
        <w:numPr>
          <w:ilvl w:val="0"/>
          <w:numId w:val="28"/>
        </w:numPr>
        <w:rPr>
          <w:szCs w:val="22"/>
          <w:lang w:val="en-GB" w:eastAsia="ja-JP"/>
        </w:rPr>
      </w:pPr>
      <w:r w:rsidRPr="000D10BF">
        <w:rPr>
          <w:szCs w:val="22"/>
          <w:lang w:val="en-GB" w:eastAsia="ja-JP"/>
        </w:rPr>
        <w:t xml:space="preserve">BNU requested follow-on consultancy from MicroSave to strengthen merchants as an alternate financial services delivery channel for their BB roll out. The focus was to be on addressing strategic, operational and marketing/ communication related barriers and undertaking improvements based on global good practices and local relevance. </w:t>
      </w:r>
    </w:p>
    <w:p w14:paraId="7FD449B0" w14:textId="77777777" w:rsidR="000D10BF" w:rsidRDefault="000D10BF" w:rsidP="00F75F68">
      <w:pPr>
        <w:pStyle w:val="ListParagraph"/>
        <w:numPr>
          <w:ilvl w:val="0"/>
          <w:numId w:val="28"/>
        </w:numPr>
        <w:rPr>
          <w:szCs w:val="22"/>
          <w:lang w:val="en-GB" w:eastAsia="ja-JP"/>
        </w:rPr>
      </w:pPr>
      <w:r w:rsidRPr="000D10BF">
        <w:rPr>
          <w:szCs w:val="22"/>
          <w:lang w:val="en-GB" w:eastAsia="ja-JP"/>
        </w:rPr>
        <w:t>In early September, BNU was given approval from BCTL to undertake a MM</w:t>
      </w:r>
      <w:r w:rsidR="00F75F68">
        <w:rPr>
          <w:szCs w:val="22"/>
          <w:lang w:val="en-GB" w:eastAsia="ja-JP"/>
        </w:rPr>
        <w:t xml:space="preserve"> pilot.</w:t>
      </w:r>
      <w:r w:rsidR="009751B2">
        <w:rPr>
          <w:szCs w:val="22"/>
          <w:lang w:val="en-GB" w:eastAsia="ja-JP"/>
        </w:rPr>
        <w:t xml:space="preserve"> </w:t>
      </w:r>
      <w:r w:rsidRPr="000D10BF">
        <w:rPr>
          <w:szCs w:val="22"/>
          <w:lang w:val="en-GB" w:eastAsia="ja-JP"/>
        </w:rPr>
        <w:t>As a result, they requested that the focus of the consultancy be shifted to focus on planning and preparation of the pilot, covering agent segmentation, selection and training; development of key front-end processes; and information communication and education (IEC) related support based on global good practices and local relevance.</w:t>
      </w:r>
      <w:r w:rsidR="00F75F68">
        <w:rPr>
          <w:szCs w:val="22"/>
          <w:lang w:val="en-GB" w:eastAsia="ja-JP"/>
        </w:rPr>
        <w:t xml:space="preserve"> </w:t>
      </w:r>
      <w:r w:rsidRPr="00F75F68">
        <w:rPr>
          <w:szCs w:val="22"/>
          <w:lang w:val="en-GB" w:eastAsia="ja-JP"/>
        </w:rPr>
        <w:t>The consultancy began on October 13</w:t>
      </w:r>
      <w:r w:rsidRPr="00F75F68">
        <w:rPr>
          <w:szCs w:val="22"/>
          <w:vertAlign w:val="superscript"/>
          <w:lang w:val="en-GB" w:eastAsia="ja-JP"/>
        </w:rPr>
        <w:t>th</w:t>
      </w:r>
      <w:r w:rsidRPr="00F75F68">
        <w:rPr>
          <w:szCs w:val="22"/>
          <w:lang w:val="en-GB" w:eastAsia="ja-JP"/>
        </w:rPr>
        <w:t xml:space="preserve"> and ended 5</w:t>
      </w:r>
      <w:r w:rsidRPr="00F75F68">
        <w:rPr>
          <w:szCs w:val="22"/>
          <w:vertAlign w:val="superscript"/>
          <w:lang w:val="en-GB" w:eastAsia="ja-JP"/>
        </w:rPr>
        <w:t>th</w:t>
      </w:r>
      <w:r w:rsidRPr="00F75F68">
        <w:rPr>
          <w:szCs w:val="22"/>
          <w:lang w:val="en-GB" w:eastAsia="ja-JP"/>
        </w:rPr>
        <w:t xml:space="preserve"> December.</w:t>
      </w:r>
    </w:p>
    <w:p w14:paraId="0E1BE1FF" w14:textId="77777777" w:rsidR="000278ED" w:rsidRDefault="000278ED" w:rsidP="00F75F68">
      <w:pPr>
        <w:pStyle w:val="ListParagraph"/>
        <w:numPr>
          <w:ilvl w:val="0"/>
          <w:numId w:val="28"/>
        </w:numPr>
        <w:rPr>
          <w:szCs w:val="22"/>
          <w:lang w:val="en-GB" w:eastAsia="ja-JP"/>
        </w:rPr>
      </w:pPr>
      <w:r>
        <w:rPr>
          <w:szCs w:val="22"/>
          <w:lang w:val="en-GB" w:eastAsia="ja-JP"/>
        </w:rPr>
        <w:t xml:space="preserve">The pilot was successfully launched, with BNU introducing the first digital financial services product channel in Timor-Leste.  A press release on the launch may be found </w:t>
      </w:r>
      <w:hyperlink r:id="rId13" w:history="1">
        <w:r w:rsidRPr="000278ED">
          <w:rPr>
            <w:rStyle w:val="Hyperlink"/>
            <w:szCs w:val="22"/>
            <w:lang w:val="en-GB" w:eastAsia="ja-JP"/>
          </w:rPr>
          <w:t>here</w:t>
        </w:r>
      </w:hyperlink>
      <w:r>
        <w:rPr>
          <w:szCs w:val="22"/>
          <w:lang w:val="en-GB" w:eastAsia="ja-JP"/>
        </w:rPr>
        <w:t>.</w:t>
      </w:r>
    </w:p>
    <w:p w14:paraId="5EB9AD41" w14:textId="77777777" w:rsidR="009C32B0" w:rsidRDefault="009C32B0" w:rsidP="009C32B0">
      <w:pPr>
        <w:rPr>
          <w:szCs w:val="22"/>
          <w:lang w:val="en-GB" w:eastAsia="ja-JP"/>
        </w:rPr>
      </w:pPr>
    </w:p>
    <w:p w14:paraId="14388A9B" w14:textId="77777777" w:rsidR="009C32B0" w:rsidRPr="00BD159D" w:rsidRDefault="00951DAB" w:rsidP="009C32B0">
      <w:pPr>
        <w:rPr>
          <w:lang w:val="en-GB" w:eastAsia="ja-JP"/>
        </w:rPr>
      </w:pPr>
      <w:r>
        <w:rPr>
          <w:lang w:val="en-GB" w:eastAsia="ja-JP"/>
        </w:rPr>
        <w:t xml:space="preserve">Also at the last MCIF meting it was agreed that INFUSE would provide technical assistance </w:t>
      </w:r>
      <w:r w:rsidR="001205F0">
        <w:rPr>
          <w:lang w:val="en-GB" w:eastAsia="ja-JP"/>
        </w:rPr>
        <w:t xml:space="preserve">to </w:t>
      </w:r>
      <w:r w:rsidR="001205F0">
        <w:rPr>
          <w:lang w:val="en-GB"/>
        </w:rPr>
        <w:t>a</w:t>
      </w:r>
      <w:r w:rsidR="00323C67" w:rsidRPr="00BD159D">
        <w:rPr>
          <w:lang w:val="en-GB"/>
        </w:rPr>
        <w:t>ssist with scaling up of saving groups by assessing the performance of various savings groups models to identify key principles and methods as best practices; make recommendations on an appropriate registration and reporting system for saving groups and preparing a roll out plan for expansion of saving groups</w:t>
      </w:r>
    </w:p>
    <w:p w14:paraId="582A16AD" w14:textId="77777777" w:rsidR="009751B2" w:rsidRPr="00BD159D" w:rsidRDefault="00795276" w:rsidP="009751B2">
      <w:pPr>
        <w:rPr>
          <w:lang w:val="en-GB" w:eastAsia="ja-JP"/>
        </w:rPr>
      </w:pPr>
      <w:r w:rsidRPr="00BD159D">
        <w:rPr>
          <w:lang w:val="en-GB" w:eastAsia="ja-JP"/>
        </w:rPr>
        <w:t xml:space="preserve"> </w:t>
      </w:r>
    </w:p>
    <w:p w14:paraId="61B4D7CB" w14:textId="77777777" w:rsidR="00323C67" w:rsidRPr="00BD159D" w:rsidRDefault="00323C67" w:rsidP="00323C67">
      <w:pPr>
        <w:pStyle w:val="ListParagraph"/>
        <w:numPr>
          <w:ilvl w:val="0"/>
          <w:numId w:val="14"/>
        </w:numPr>
        <w:suppressAutoHyphens w:val="0"/>
        <w:autoSpaceDN/>
        <w:contextualSpacing/>
        <w:textAlignment w:val="auto"/>
        <w:rPr>
          <w:lang w:val="en-GB"/>
        </w:rPr>
      </w:pPr>
      <w:r w:rsidRPr="00BD159D">
        <w:rPr>
          <w:lang w:val="en-GB"/>
        </w:rPr>
        <w:t xml:space="preserve">Field assessment of SGs involving interviews and spot-checks with 29 groups across 6 districts, with a heavy weighting on Oecusse, where most groups are located. A state of sector report </w:t>
      </w:r>
      <w:r w:rsidR="00817BC9">
        <w:rPr>
          <w:lang w:val="en-GB"/>
        </w:rPr>
        <w:t xml:space="preserve">was </w:t>
      </w:r>
      <w:r w:rsidRPr="00BD159D">
        <w:rPr>
          <w:lang w:val="en-GB"/>
        </w:rPr>
        <w:t>completed.</w:t>
      </w:r>
    </w:p>
    <w:p w14:paraId="71C764A1" w14:textId="77777777" w:rsidR="00323C67" w:rsidRPr="00BD159D" w:rsidRDefault="00323C67" w:rsidP="00323C67">
      <w:pPr>
        <w:pStyle w:val="ListParagraph"/>
        <w:numPr>
          <w:ilvl w:val="0"/>
          <w:numId w:val="14"/>
        </w:numPr>
        <w:suppressAutoHyphens w:val="0"/>
        <w:autoSpaceDN/>
        <w:contextualSpacing/>
        <w:textAlignment w:val="auto"/>
        <w:rPr>
          <w:lang w:val="en-GB"/>
        </w:rPr>
      </w:pPr>
      <w:r w:rsidRPr="00BD159D">
        <w:rPr>
          <w:lang w:val="en-GB"/>
        </w:rPr>
        <w:t xml:space="preserve">Two workshops were successfully organized to share the findings of his field assessment and to build consensus around priority actions. The first workshop on 2 Sep was for senior management and practitioners from the major international and local NGOs. The workshop agreed that a set of core principles and capacity building were their priority. The second workshop on 3 Sep was to share the priorities of the first workshop with development partners and government ministries and to inform them of the potential role that SGs can play in supporting their ongoing work. </w:t>
      </w:r>
    </w:p>
    <w:p w14:paraId="096C652F" w14:textId="77777777" w:rsidR="00323C67" w:rsidRPr="00BD159D" w:rsidRDefault="00323C67" w:rsidP="00323C67">
      <w:pPr>
        <w:pStyle w:val="ListParagraph"/>
        <w:numPr>
          <w:ilvl w:val="0"/>
          <w:numId w:val="14"/>
        </w:numPr>
        <w:suppressAutoHyphens w:val="0"/>
        <w:autoSpaceDN/>
        <w:contextualSpacing/>
        <w:textAlignment w:val="auto"/>
        <w:rPr>
          <w:lang w:val="en-GB"/>
        </w:rPr>
      </w:pPr>
      <w:r w:rsidRPr="00BD159D">
        <w:rPr>
          <w:lang w:val="en-GB"/>
        </w:rPr>
        <w:t xml:space="preserve">The priorities were endorsed by the </w:t>
      </w:r>
      <w:r w:rsidR="00817BC9">
        <w:rPr>
          <w:sz w:val="22"/>
          <w:szCs w:val="22"/>
        </w:rPr>
        <w:t>Savings Groups Technical Working Group</w:t>
      </w:r>
      <w:r w:rsidR="00817BC9" w:rsidRPr="00BD159D">
        <w:rPr>
          <w:lang w:val="en-GB"/>
        </w:rPr>
        <w:t xml:space="preserve"> </w:t>
      </w:r>
      <w:r w:rsidR="00817BC9">
        <w:rPr>
          <w:lang w:val="en-GB"/>
        </w:rPr>
        <w:t>(</w:t>
      </w:r>
      <w:r w:rsidRPr="00BD159D">
        <w:rPr>
          <w:lang w:val="en-GB"/>
        </w:rPr>
        <w:t>SGsTWG</w:t>
      </w:r>
      <w:r w:rsidR="00817BC9">
        <w:rPr>
          <w:lang w:val="en-GB"/>
        </w:rPr>
        <w:t>)</w:t>
      </w:r>
      <w:r w:rsidRPr="00BD159D">
        <w:rPr>
          <w:lang w:val="en-GB"/>
        </w:rPr>
        <w:t xml:space="preserve"> at their 26 Sep meeting.</w:t>
      </w:r>
    </w:p>
    <w:p w14:paraId="1E7276BF" w14:textId="77777777" w:rsidR="00323C67" w:rsidRPr="00BD159D" w:rsidRDefault="00323C67" w:rsidP="00323C67">
      <w:pPr>
        <w:pStyle w:val="ListParagraph"/>
        <w:numPr>
          <w:ilvl w:val="0"/>
          <w:numId w:val="14"/>
        </w:numPr>
        <w:suppressAutoHyphens w:val="0"/>
        <w:autoSpaceDN/>
        <w:contextualSpacing/>
        <w:textAlignment w:val="auto"/>
        <w:rPr>
          <w:lang w:val="en-GB"/>
        </w:rPr>
      </w:pPr>
      <w:r w:rsidRPr="00BD159D">
        <w:rPr>
          <w:lang w:val="en-GB"/>
        </w:rPr>
        <w:t>A draft training manual covering the to</w:t>
      </w:r>
      <w:r w:rsidR="00817BC9">
        <w:rPr>
          <w:lang w:val="en-GB"/>
        </w:rPr>
        <w:t>pics of the two workshops (</w:t>
      </w:r>
      <w:r w:rsidRPr="00BD159D">
        <w:rPr>
          <w:lang w:val="en-GB"/>
        </w:rPr>
        <w:t>translated into Tetum and finalized before end of Dec)</w:t>
      </w:r>
    </w:p>
    <w:p w14:paraId="2842397B" w14:textId="77777777" w:rsidR="00323C67" w:rsidRPr="00BD159D" w:rsidRDefault="00323C67" w:rsidP="00323C67">
      <w:pPr>
        <w:pStyle w:val="ListParagraph"/>
        <w:numPr>
          <w:ilvl w:val="0"/>
          <w:numId w:val="14"/>
        </w:numPr>
        <w:suppressAutoHyphens w:val="0"/>
        <w:autoSpaceDN/>
        <w:contextualSpacing/>
        <w:textAlignment w:val="auto"/>
        <w:rPr>
          <w:lang w:val="en-GB"/>
        </w:rPr>
      </w:pPr>
      <w:r w:rsidRPr="00BD159D">
        <w:rPr>
          <w:lang w:val="en-GB"/>
        </w:rPr>
        <w:t>The Consultant provided advice to several NGOs on capacity issues specific to their organizations.</w:t>
      </w:r>
    </w:p>
    <w:p w14:paraId="0FA3F116" w14:textId="77777777" w:rsidR="00AD280C" w:rsidRDefault="00AD280C" w:rsidP="00AD280C">
      <w:pPr>
        <w:suppressAutoHyphens w:val="0"/>
        <w:jc w:val="both"/>
        <w:textAlignment w:val="auto"/>
        <w:rPr>
          <w:lang w:eastAsia="ja-JP"/>
        </w:rPr>
      </w:pPr>
    </w:p>
    <w:p w14:paraId="1F64A4D2" w14:textId="77777777" w:rsidR="00AD280C" w:rsidRDefault="00AD280C" w:rsidP="00AD280C">
      <w:pPr>
        <w:suppressAutoHyphens w:val="0"/>
        <w:jc w:val="both"/>
        <w:textAlignment w:val="auto"/>
        <w:rPr>
          <w:lang w:eastAsia="ja-JP"/>
        </w:rPr>
      </w:pPr>
      <w:r>
        <w:rPr>
          <w:lang w:eastAsia="ja-JP"/>
        </w:rPr>
        <w:t xml:space="preserve">An evaluation of the </w:t>
      </w:r>
      <w:r w:rsidR="00E9748C">
        <w:rPr>
          <w:lang w:eastAsia="ja-JP"/>
        </w:rPr>
        <w:t>Credit Life insurance product</w:t>
      </w:r>
      <w:r w:rsidR="001E181D">
        <w:rPr>
          <w:lang w:eastAsia="ja-JP"/>
        </w:rPr>
        <w:t xml:space="preserve"> was provided by INFUSE, which contracted the services of Denis Garand &amp; Associates. </w:t>
      </w:r>
    </w:p>
    <w:p w14:paraId="7313DF3B" w14:textId="77777777" w:rsidR="00296616" w:rsidRDefault="00684F50" w:rsidP="00684F50">
      <w:pPr>
        <w:pStyle w:val="ListParagraph"/>
        <w:numPr>
          <w:ilvl w:val="0"/>
          <w:numId w:val="14"/>
        </w:numPr>
        <w:rPr>
          <w:lang w:val="en-CA" w:eastAsia="ja-JP"/>
        </w:rPr>
      </w:pPr>
      <w:r>
        <w:rPr>
          <w:lang w:eastAsia="ja-JP"/>
        </w:rPr>
        <w:t>The evaluation concluded that</w:t>
      </w:r>
      <w:r w:rsidR="00262FEC">
        <w:rPr>
          <w:lang w:eastAsia="ja-JP"/>
        </w:rPr>
        <w:t xml:space="preserve"> </w:t>
      </w:r>
      <w:r w:rsidRPr="00296616">
        <w:rPr>
          <w:lang w:val="en-CA" w:eastAsia="ja-JP"/>
        </w:rPr>
        <w:t>t</w:t>
      </w:r>
      <w:r w:rsidR="006424A6" w:rsidRPr="00296616">
        <w:rPr>
          <w:lang w:val="en-CA" w:eastAsia="ja-JP"/>
        </w:rPr>
        <w:t>here is scope for new products</w:t>
      </w:r>
      <w:r w:rsidRPr="00296616">
        <w:rPr>
          <w:lang w:val="en-CA" w:eastAsia="ja-JP"/>
        </w:rPr>
        <w:t xml:space="preserve"> and t</w:t>
      </w:r>
      <w:r w:rsidR="006424A6" w:rsidRPr="00296616">
        <w:rPr>
          <w:lang w:val="en-CA" w:eastAsia="ja-JP"/>
        </w:rPr>
        <w:t>here is client interest in new products, such as; an education savings product with insurance</w:t>
      </w:r>
      <w:r w:rsidRPr="00296616">
        <w:rPr>
          <w:lang w:val="en-CA" w:eastAsia="ja-JP"/>
        </w:rPr>
        <w:t xml:space="preserve">. Further, </w:t>
      </w:r>
      <w:r w:rsidR="006424A6" w:rsidRPr="00296616">
        <w:rPr>
          <w:lang w:val="en-CA" w:eastAsia="ja-JP"/>
        </w:rPr>
        <w:t>MR and TRM clients stated they would like this product, which can be directed to clients with activ</w:t>
      </w:r>
      <w:r w:rsidR="00296616">
        <w:rPr>
          <w:lang w:val="en-CA" w:eastAsia="ja-JP"/>
        </w:rPr>
        <w:t>e loans and those with savings.</w:t>
      </w:r>
    </w:p>
    <w:p w14:paraId="5C67DD8F" w14:textId="77777777" w:rsidR="00296616" w:rsidRPr="00296616" w:rsidRDefault="00296616" w:rsidP="00684F50">
      <w:pPr>
        <w:pStyle w:val="ListParagraph"/>
        <w:numPr>
          <w:ilvl w:val="0"/>
          <w:numId w:val="14"/>
        </w:numPr>
        <w:rPr>
          <w:lang w:val="en-CA" w:eastAsia="ja-JP"/>
        </w:rPr>
      </w:pPr>
      <w:r w:rsidRPr="00296616">
        <w:rPr>
          <w:lang w:val="en-CA" w:eastAsia="ja-JP"/>
        </w:rPr>
        <w:lastRenderedPageBreak/>
        <w:t>MR and TRM were advised to</w:t>
      </w:r>
      <w:r>
        <w:rPr>
          <w:lang w:val="en-CA" w:eastAsia="ja-JP"/>
        </w:rPr>
        <w:t xml:space="preserve"> lower their premiums. </w:t>
      </w:r>
    </w:p>
    <w:p w14:paraId="17AB8BFF" w14:textId="77777777" w:rsidR="00706241" w:rsidRDefault="00684F50" w:rsidP="00684F50">
      <w:pPr>
        <w:pStyle w:val="ListParagraph"/>
        <w:numPr>
          <w:ilvl w:val="0"/>
          <w:numId w:val="14"/>
        </w:numPr>
        <w:rPr>
          <w:lang w:val="en-CA" w:eastAsia="ja-JP"/>
        </w:rPr>
      </w:pPr>
      <w:r w:rsidRPr="00684F50">
        <w:rPr>
          <w:lang w:val="en-CA" w:eastAsia="ja-JP"/>
        </w:rPr>
        <w:t>The report recommended that INFUSE should consider doing a demand research study and pricing of such products in partnership with the insurers and the distribution network. This would enhance the capacity of all the players. By building an excellent data</w:t>
      </w:r>
      <w:r w:rsidR="006424A6" w:rsidRPr="00684F50">
        <w:rPr>
          <w:lang w:val="en-CA" w:eastAsia="ja-JP"/>
        </w:rPr>
        <w:t xml:space="preserve">base on mortality, it will be easier to expand into other life products. </w:t>
      </w:r>
      <w:r w:rsidR="006424A6" w:rsidRPr="006424A6">
        <w:rPr>
          <w:lang w:val="en-CA" w:eastAsia="ja-JP"/>
        </w:rPr>
        <w:t>If demand research demonstrates need for other products, related to fire, agriculture or other products, it would be wise to commence with a small pilot to develop data and skills; similarly to the approach taken with credit life products.</w:t>
      </w:r>
    </w:p>
    <w:p w14:paraId="2B266F55" w14:textId="77777777" w:rsidR="00684F50" w:rsidRPr="00684F50" w:rsidRDefault="00684F50" w:rsidP="00684F50">
      <w:pPr>
        <w:pStyle w:val="ListParagraph"/>
        <w:numPr>
          <w:ilvl w:val="0"/>
          <w:numId w:val="14"/>
        </w:numPr>
        <w:rPr>
          <w:lang w:val="en-CA" w:eastAsia="ja-JP"/>
        </w:rPr>
      </w:pPr>
      <w:r>
        <w:rPr>
          <w:lang w:val="en-CA" w:eastAsia="ja-JP"/>
        </w:rPr>
        <w:t xml:space="preserve">The INFUSE programme had less budget than expected and thus, further work on developing the products in micro-insurance could not be executed. </w:t>
      </w:r>
    </w:p>
    <w:p w14:paraId="7C89E478" w14:textId="77777777" w:rsidR="00706241" w:rsidRPr="00BD159D" w:rsidRDefault="00706241" w:rsidP="00706241">
      <w:pPr>
        <w:numPr>
          <w:ilvl w:val="0"/>
          <w:numId w:val="14"/>
        </w:numPr>
        <w:suppressAutoHyphens w:val="0"/>
        <w:jc w:val="both"/>
        <w:textAlignment w:val="auto"/>
      </w:pPr>
      <w:r w:rsidRPr="00BD159D">
        <w:rPr>
          <w:lang w:eastAsia="ja-JP"/>
        </w:rPr>
        <w:t>INFUSE facilitated clarifications by NITL to both distributors TRM and MR of the credit life insurance coverage on issues raised by clients in the field. These clarifications were embedded into an amendment to the distribution contract, which serves as a product information sheet for field officers of TRM and MR. Similarly INFUSE sought to address the lack of end client information on the insurance products: it developed a flipchart to guide the field officer in explaining in simple terms the main aspects of the insurance product.</w:t>
      </w:r>
    </w:p>
    <w:p w14:paraId="510ED291" w14:textId="77777777" w:rsidR="00706241" w:rsidRPr="00BD159D" w:rsidRDefault="00706241" w:rsidP="00706241">
      <w:pPr>
        <w:tabs>
          <w:tab w:val="left" w:pos="360"/>
        </w:tabs>
        <w:suppressAutoHyphens w:val="0"/>
        <w:autoSpaceDE w:val="0"/>
        <w:jc w:val="both"/>
        <w:textAlignment w:val="auto"/>
        <w:rPr>
          <w:lang w:eastAsia="ja-JP"/>
        </w:rPr>
      </w:pPr>
    </w:p>
    <w:p w14:paraId="40B0F1FF" w14:textId="77777777" w:rsidR="00706241" w:rsidRPr="00E814C1" w:rsidRDefault="00706241" w:rsidP="00706241">
      <w:pPr>
        <w:tabs>
          <w:tab w:val="left" w:pos="360"/>
        </w:tabs>
        <w:suppressAutoHyphens w:val="0"/>
        <w:autoSpaceDE w:val="0"/>
        <w:jc w:val="both"/>
        <w:textAlignment w:val="auto"/>
      </w:pPr>
      <w:r w:rsidRPr="00E814C1">
        <w:rPr>
          <w:lang w:eastAsia="ja-JP"/>
        </w:rPr>
        <w:t xml:space="preserve">The follow-up of the investments </w:t>
      </w:r>
      <w:r w:rsidR="00D60B08" w:rsidRPr="00E814C1">
        <w:rPr>
          <w:lang w:eastAsia="ja-JP"/>
        </w:rPr>
        <w:t xml:space="preserve">outstanding in 2014 are </w:t>
      </w:r>
      <w:r w:rsidRPr="00E814C1">
        <w:rPr>
          <w:lang w:eastAsia="ja-JP"/>
        </w:rPr>
        <w:t xml:space="preserve">described below: </w:t>
      </w:r>
    </w:p>
    <w:p w14:paraId="5F409E00" w14:textId="77777777" w:rsidR="00817BC9" w:rsidRPr="00E814C1" w:rsidRDefault="00817BC9" w:rsidP="00817BC9">
      <w:pPr>
        <w:suppressAutoHyphens w:val="0"/>
        <w:autoSpaceDE w:val="0"/>
        <w:adjustRightInd w:val="0"/>
        <w:contextualSpacing/>
        <w:textAlignment w:val="auto"/>
        <w:rPr>
          <w:b/>
          <w:lang w:eastAsia="ja-JP"/>
        </w:rPr>
      </w:pPr>
    </w:p>
    <w:p w14:paraId="4CFA4216" w14:textId="77777777" w:rsidR="00817BC9" w:rsidRPr="0043157F" w:rsidRDefault="00706241" w:rsidP="00817BC9">
      <w:pPr>
        <w:suppressAutoHyphens w:val="0"/>
        <w:autoSpaceDE w:val="0"/>
        <w:adjustRightInd w:val="0"/>
        <w:contextualSpacing/>
        <w:textAlignment w:val="auto"/>
        <w:rPr>
          <w:lang w:val="en-GB"/>
        </w:rPr>
      </w:pPr>
      <w:r w:rsidRPr="00E814C1">
        <w:rPr>
          <w:b/>
          <w:lang w:eastAsia="ja-JP"/>
        </w:rPr>
        <w:t xml:space="preserve">Tuba Rai Metin: </w:t>
      </w:r>
      <w:r w:rsidR="00817BC9" w:rsidRPr="00E814C1">
        <w:rPr>
          <w:lang w:val="en-GB"/>
        </w:rPr>
        <w:t>TRM received a grant of $40,000 to assist in attracting equity investment, of which one tranche of $25</w:t>
      </w:r>
      <w:r w:rsidR="00817BC9" w:rsidRPr="0043157F">
        <w:rPr>
          <w:lang w:val="en-GB"/>
        </w:rPr>
        <w:t>,000 was outstanding to be disbursed according to the following conditions, which were both achieved:</w:t>
      </w:r>
    </w:p>
    <w:p w14:paraId="37C628E6" w14:textId="77777777" w:rsidR="00817BC9" w:rsidRPr="0043157F" w:rsidRDefault="00817BC9" w:rsidP="00817BC9">
      <w:pPr>
        <w:pStyle w:val="ListParagraph"/>
        <w:numPr>
          <w:ilvl w:val="1"/>
          <w:numId w:val="30"/>
        </w:numPr>
        <w:suppressAutoHyphens w:val="0"/>
        <w:autoSpaceDE w:val="0"/>
        <w:adjustRightInd w:val="0"/>
        <w:contextualSpacing/>
        <w:textAlignment w:val="auto"/>
        <w:rPr>
          <w:lang w:val="en-GB"/>
        </w:rPr>
      </w:pPr>
      <w:r w:rsidRPr="0043157F">
        <w:rPr>
          <w:lang w:val="en-GB"/>
        </w:rPr>
        <w:t>Financial audit satisfying the pre-requisites of at least one potential investor</w:t>
      </w:r>
    </w:p>
    <w:p w14:paraId="481BD067" w14:textId="77777777" w:rsidR="00817BC9" w:rsidRDefault="00817BC9" w:rsidP="00817BC9">
      <w:pPr>
        <w:pStyle w:val="ListParagraph"/>
        <w:numPr>
          <w:ilvl w:val="1"/>
          <w:numId w:val="30"/>
        </w:numPr>
        <w:suppressAutoHyphens w:val="0"/>
        <w:autoSpaceDE w:val="0"/>
        <w:adjustRightInd w:val="0"/>
        <w:contextualSpacing/>
        <w:textAlignment w:val="auto"/>
        <w:rPr>
          <w:lang w:val="en-GB"/>
        </w:rPr>
      </w:pPr>
      <w:r w:rsidRPr="0043157F">
        <w:rPr>
          <w:lang w:val="en-GB"/>
        </w:rPr>
        <w:t>Letter of intent from at least one potential investor detailing the prerequisite for financial audit and its ToR</w:t>
      </w:r>
    </w:p>
    <w:p w14:paraId="6E16D8E1" w14:textId="77777777" w:rsidR="00817BC9" w:rsidRPr="00817BC9" w:rsidRDefault="00817BC9" w:rsidP="00817BC9">
      <w:pPr>
        <w:suppressAutoHyphens w:val="0"/>
        <w:autoSpaceDE w:val="0"/>
        <w:adjustRightInd w:val="0"/>
        <w:contextualSpacing/>
        <w:textAlignment w:val="auto"/>
        <w:rPr>
          <w:lang w:val="en-GB"/>
        </w:rPr>
      </w:pPr>
      <w:r w:rsidRPr="00817BC9">
        <w:rPr>
          <w:lang w:val="en-GB"/>
        </w:rPr>
        <w:t>TRM successfully completed the audit as per the requirements of the BTCL for its ODTI license and received a letter of intent to invest from three investors: IFC, Grameen Credit Agricole and Base of the Pyramid Asia</w:t>
      </w:r>
    </w:p>
    <w:p w14:paraId="7D8B2B4B" w14:textId="77777777" w:rsidR="00706241" w:rsidRPr="00323C67" w:rsidRDefault="00706241" w:rsidP="00817BC9">
      <w:pPr>
        <w:tabs>
          <w:tab w:val="left" w:pos="360"/>
        </w:tabs>
        <w:suppressAutoHyphens w:val="0"/>
        <w:autoSpaceDE w:val="0"/>
        <w:textAlignment w:val="auto"/>
        <w:rPr>
          <w:highlight w:val="yellow"/>
        </w:rPr>
      </w:pPr>
    </w:p>
    <w:p w14:paraId="5F08CA50" w14:textId="77777777" w:rsidR="00706241" w:rsidRPr="00B4235B" w:rsidRDefault="00706241" w:rsidP="00706241">
      <w:pPr>
        <w:numPr>
          <w:ilvl w:val="0"/>
          <w:numId w:val="11"/>
        </w:numPr>
        <w:tabs>
          <w:tab w:val="left" w:pos="360"/>
        </w:tabs>
        <w:suppressAutoHyphens w:val="0"/>
        <w:autoSpaceDE w:val="0"/>
        <w:ind w:left="360"/>
        <w:jc w:val="both"/>
        <w:textAlignment w:val="auto"/>
      </w:pPr>
      <w:r w:rsidRPr="00B4235B">
        <w:rPr>
          <w:lang w:eastAsia="ja-JP"/>
        </w:rPr>
        <w:t xml:space="preserve">INFUSE continued to monitor the five-year grant agreement from the MicroLead Programme </w:t>
      </w:r>
      <w:r w:rsidR="00817BC9" w:rsidRPr="00B4235B">
        <w:rPr>
          <w:lang w:eastAsia="ja-JP"/>
        </w:rPr>
        <w:t xml:space="preserve">(UNCDF Gobal Thematic) </w:t>
      </w:r>
      <w:r w:rsidRPr="00B4235B">
        <w:rPr>
          <w:lang w:eastAsia="ja-JP"/>
        </w:rPr>
        <w:t xml:space="preserve">to TRM. </w:t>
      </w:r>
      <w:r w:rsidR="00817BC9" w:rsidRPr="00B4235B">
        <w:rPr>
          <w:lang w:eastAsia="ja-JP"/>
        </w:rPr>
        <w:t>TRM had two tranches outstanding</w:t>
      </w:r>
      <w:r w:rsidR="00B4235B" w:rsidRPr="00B4235B">
        <w:rPr>
          <w:lang w:eastAsia="ja-JP"/>
        </w:rPr>
        <w:t>, #6 for US$36,000 and #7 for US$30,202.  The grant agreement expired at the end of 2013 without several of the disbursement conditions being met, namely:</w:t>
      </w:r>
    </w:p>
    <w:p w14:paraId="6F4658D2" w14:textId="77777777" w:rsidR="00B4235B" w:rsidRPr="00B4235B" w:rsidRDefault="00B4235B" w:rsidP="00B4235B">
      <w:pPr>
        <w:pStyle w:val="ListParagraph"/>
        <w:numPr>
          <w:ilvl w:val="1"/>
          <w:numId w:val="30"/>
        </w:numPr>
        <w:suppressAutoHyphens w:val="0"/>
        <w:autoSpaceDE w:val="0"/>
        <w:adjustRightInd w:val="0"/>
        <w:contextualSpacing/>
        <w:textAlignment w:val="auto"/>
        <w:rPr>
          <w:lang w:val="en-GB"/>
        </w:rPr>
      </w:pPr>
      <w:r w:rsidRPr="00B4235B">
        <w:rPr>
          <w:lang w:val="en-GB"/>
        </w:rPr>
        <w:t>The grant agreement expired without the proper documentation of the final two deliverables being submitted. The grant had already been extended to give BASICS more time to achieve previously agreed upon milestones from 2012.</w:t>
      </w:r>
    </w:p>
    <w:p w14:paraId="78CA507E" w14:textId="77777777" w:rsidR="00B4235B" w:rsidRPr="00B4235B" w:rsidRDefault="00B4235B" w:rsidP="00B4235B">
      <w:pPr>
        <w:pStyle w:val="ListParagraph"/>
        <w:numPr>
          <w:ilvl w:val="1"/>
          <w:numId w:val="30"/>
        </w:numPr>
        <w:suppressAutoHyphens w:val="0"/>
        <w:autoSpaceDE w:val="0"/>
        <w:adjustRightInd w:val="0"/>
        <w:contextualSpacing/>
        <w:textAlignment w:val="auto"/>
        <w:rPr>
          <w:lang w:val="en-GB"/>
        </w:rPr>
      </w:pPr>
      <w:r w:rsidRPr="00B4235B">
        <w:rPr>
          <w:lang w:val="en-GB"/>
        </w:rPr>
        <w:t>TRM failed to meet the client growth targets</w:t>
      </w:r>
    </w:p>
    <w:p w14:paraId="047EFAAC" w14:textId="77777777" w:rsidR="00B4235B" w:rsidRPr="00B4235B" w:rsidRDefault="00B4235B" w:rsidP="00B4235B">
      <w:pPr>
        <w:pStyle w:val="ListParagraph"/>
        <w:numPr>
          <w:ilvl w:val="1"/>
          <w:numId w:val="30"/>
        </w:numPr>
        <w:suppressAutoHyphens w:val="0"/>
        <w:autoSpaceDE w:val="0"/>
        <w:adjustRightInd w:val="0"/>
        <w:contextualSpacing/>
        <w:textAlignment w:val="auto"/>
        <w:rPr>
          <w:lang w:val="en-GB"/>
        </w:rPr>
      </w:pPr>
      <w:r w:rsidRPr="00B4235B">
        <w:rPr>
          <w:lang w:val="en-GB"/>
        </w:rPr>
        <w:t>BASICS failed to provide evidence that all the training materials for supervisors, field officers and board members were completed and left with the institution.  Further, it did not maintain appropriate records as per the agreement to log the number of staff trained and the frequency.</w:t>
      </w:r>
    </w:p>
    <w:p w14:paraId="16634691" w14:textId="77777777" w:rsidR="00B4235B" w:rsidRPr="00B4235B" w:rsidRDefault="00B4235B" w:rsidP="00B4235B">
      <w:pPr>
        <w:suppressAutoHyphens w:val="0"/>
        <w:autoSpaceDE w:val="0"/>
        <w:adjustRightInd w:val="0"/>
        <w:contextualSpacing/>
        <w:textAlignment w:val="auto"/>
        <w:rPr>
          <w:b/>
          <w:lang w:eastAsia="ja-JP"/>
        </w:rPr>
      </w:pPr>
    </w:p>
    <w:p w14:paraId="7996F759" w14:textId="77777777" w:rsidR="00706241" w:rsidRDefault="00706241" w:rsidP="00B4235B">
      <w:pPr>
        <w:suppressAutoHyphens w:val="0"/>
        <w:autoSpaceDE w:val="0"/>
        <w:adjustRightInd w:val="0"/>
        <w:contextualSpacing/>
        <w:textAlignment w:val="auto"/>
        <w:rPr>
          <w:lang w:eastAsia="ja-JP"/>
        </w:rPr>
      </w:pPr>
      <w:r w:rsidRPr="00B4235B">
        <w:rPr>
          <w:b/>
          <w:lang w:eastAsia="ja-JP"/>
        </w:rPr>
        <w:t>Moris Rasik</w:t>
      </w:r>
      <w:r w:rsidRPr="00B4235B">
        <w:rPr>
          <w:lang w:eastAsia="ja-JP"/>
        </w:rPr>
        <w:t>: the grant agreement under which INFUSE provides US$ 60,000 for the roll-out of the MIS to all branches was signed in March</w:t>
      </w:r>
      <w:r w:rsidR="00B4235B" w:rsidRPr="00B4235B">
        <w:rPr>
          <w:lang w:eastAsia="ja-JP"/>
        </w:rPr>
        <w:t xml:space="preserve"> 2013. The grant covered</w:t>
      </w:r>
      <w:r w:rsidRPr="00B4235B">
        <w:rPr>
          <w:lang w:eastAsia="ja-JP"/>
        </w:rPr>
        <w:t xml:space="preserve"> branch equipment costs (computers, printers and power back-ups) and the salary of a dedicated IT task force that will assist each branch during the implementation, as well as the transfer of all portfolio data into the MIS. </w:t>
      </w:r>
    </w:p>
    <w:p w14:paraId="2F9C06E5" w14:textId="77777777" w:rsidR="00B4235B" w:rsidRDefault="00B4235B" w:rsidP="00B4235B">
      <w:pPr>
        <w:suppressAutoHyphens w:val="0"/>
        <w:autoSpaceDE w:val="0"/>
        <w:adjustRightInd w:val="0"/>
        <w:contextualSpacing/>
        <w:textAlignment w:val="auto"/>
        <w:rPr>
          <w:lang w:eastAsia="ja-JP"/>
        </w:rPr>
      </w:pPr>
    </w:p>
    <w:p w14:paraId="0FC158E2" w14:textId="77777777" w:rsidR="00B4235B" w:rsidRPr="00B4235B" w:rsidRDefault="00B4235B" w:rsidP="00B4235B">
      <w:pPr>
        <w:suppressAutoHyphens w:val="0"/>
        <w:autoSpaceDE w:val="0"/>
        <w:adjustRightInd w:val="0"/>
        <w:contextualSpacing/>
        <w:textAlignment w:val="auto"/>
        <w:rPr>
          <w:lang w:val="en-GB"/>
        </w:rPr>
      </w:pPr>
      <w:r>
        <w:rPr>
          <w:lang w:eastAsia="ja-JP"/>
        </w:rPr>
        <w:t>MR achieved one target on the grant when it rolled the IT system successfully to three branches.  As a result, it received one tranche of $30,000 per the grant agreement.  However, it subsequently decided to go to a cloud-based IT system, and abandoned the one INFUSE agreed to pay for.  As a result, the remaining $30,000 was canceled and the agreement terminated.</w:t>
      </w:r>
    </w:p>
    <w:p w14:paraId="077B99D7" w14:textId="77777777" w:rsidR="00706241" w:rsidRDefault="00706241" w:rsidP="00706241">
      <w:pPr>
        <w:pStyle w:val="Default"/>
        <w:jc w:val="both"/>
        <w:rPr>
          <w:rFonts w:ascii="Times New Roman" w:hAnsi="Times New Roman" w:cs="Times New Roman"/>
          <w:color w:val="auto"/>
          <w:u w:val="single"/>
          <w:lang w:eastAsia="ja-JP"/>
        </w:rPr>
      </w:pPr>
    </w:p>
    <w:p w14:paraId="2BC98860" w14:textId="77777777" w:rsidR="00B4235B" w:rsidRDefault="00B4235B" w:rsidP="00706241">
      <w:pPr>
        <w:pStyle w:val="Default"/>
        <w:jc w:val="both"/>
        <w:rPr>
          <w:rFonts w:ascii="Times New Roman" w:hAnsi="Times New Roman" w:cs="Times New Roman"/>
          <w:color w:val="auto"/>
          <w:u w:val="single"/>
          <w:lang w:eastAsia="ja-JP"/>
        </w:rPr>
      </w:pPr>
    </w:p>
    <w:p w14:paraId="6D819859" w14:textId="77777777" w:rsidR="00706241" w:rsidRPr="004E31E5" w:rsidRDefault="00706241" w:rsidP="00706241">
      <w:pPr>
        <w:suppressAutoHyphens w:val="0"/>
        <w:autoSpaceDN/>
        <w:textAlignment w:val="auto"/>
        <w:rPr>
          <w:b/>
          <w:u w:val="single"/>
          <w:lang w:eastAsia="ja-JP"/>
        </w:rPr>
      </w:pPr>
      <w:r w:rsidRPr="004E31E5">
        <w:rPr>
          <w:b/>
          <w:u w:val="single"/>
          <w:lang w:eastAsia="ja-JP"/>
        </w:rPr>
        <w:t>Outreach</w:t>
      </w:r>
    </w:p>
    <w:p w14:paraId="1FBE877E" w14:textId="77777777" w:rsidR="00706241" w:rsidRPr="004E31E5" w:rsidRDefault="00097401" w:rsidP="00706241">
      <w:pPr>
        <w:pStyle w:val="Default"/>
        <w:jc w:val="both"/>
        <w:rPr>
          <w:rFonts w:ascii="Times New Roman" w:hAnsi="Times New Roman" w:cs="Times New Roman"/>
          <w:bCs/>
          <w:color w:val="auto"/>
          <w:lang w:val="en-GB" w:eastAsia="ja-JP"/>
        </w:rPr>
      </w:pPr>
      <w:r w:rsidRPr="004E31E5">
        <w:rPr>
          <w:rFonts w:ascii="Times New Roman" w:eastAsia="Times New Roman" w:hAnsi="Times New Roman" w:cs="Times New Roman"/>
          <w:noProof/>
          <w:color w:val="auto"/>
        </w:rPr>
        <mc:AlternateContent>
          <mc:Choice Requires="wps">
            <w:drawing>
              <wp:anchor distT="0" distB="0" distL="114300" distR="114300" simplePos="0" relativeHeight="251663360" behindDoc="0" locked="0" layoutInCell="1" allowOverlap="1" wp14:anchorId="10BCC181" wp14:editId="345828DD">
                <wp:simplePos x="0" y="0"/>
                <wp:positionH relativeFrom="column">
                  <wp:posOffset>2143125</wp:posOffset>
                </wp:positionH>
                <wp:positionV relativeFrom="paragraph">
                  <wp:posOffset>3365500</wp:posOffset>
                </wp:positionV>
                <wp:extent cx="3085465" cy="390525"/>
                <wp:effectExtent l="0" t="0" r="10160" b="28575"/>
                <wp:wrapNone/>
                <wp:docPr id="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5465" cy="390525"/>
                        </a:xfrm>
                        <a:prstGeom prst="rect">
                          <a:avLst/>
                        </a:prstGeom>
                        <a:solidFill>
                          <a:schemeClr val="bg1">
                            <a:alpha val="50000"/>
                          </a:schemeClr>
                        </a:solidFill>
                        <a:ln>
                          <a:solidFill>
                            <a:schemeClr val="tx1"/>
                          </a:solidFill>
                        </a:ln>
                      </wps:spPr>
                      <wps:style>
                        <a:lnRef idx="0">
                          <a:scrgbClr r="0" g="0" b="0"/>
                        </a:lnRef>
                        <a:fillRef idx="0">
                          <a:scrgbClr r="0" g="0" b="0"/>
                        </a:fillRef>
                        <a:effectRef idx="0">
                          <a:scrgbClr r="0" g="0" b="0"/>
                        </a:effectRef>
                        <a:fontRef idx="minor">
                          <a:schemeClr val="tx1"/>
                        </a:fontRef>
                      </wps:style>
                      <wps:txbx>
                        <w:txbxContent>
                          <w:p w14:paraId="421E6C6A" w14:textId="77777777" w:rsidR="00D60B08" w:rsidRDefault="00D60B08" w:rsidP="00706241">
                            <w:pPr>
                              <w:pStyle w:val="NormalWeb"/>
                              <w:spacing w:before="0" w:after="0"/>
                            </w:pPr>
                            <w:r>
                              <w:rPr>
                                <w:rFonts w:asciiTheme="minorHAnsi" w:hAnsi="Calibri" w:cstheme="minorBidi"/>
                                <w:color w:val="000000" w:themeColor="text1"/>
                                <w:sz w:val="20"/>
                                <w:szCs w:val="20"/>
                              </w:rPr>
                              <w:t>Note: Credit Unions are included in 'Active Clients' but not</w:t>
                            </w:r>
                          </w:p>
                          <w:p w14:paraId="2431F8F3" w14:textId="77777777" w:rsidR="00D60B08" w:rsidRDefault="00D60B08" w:rsidP="00706241">
                            <w:pPr>
                              <w:pStyle w:val="NormalWeb"/>
                              <w:spacing w:before="0" w:after="0"/>
                            </w:pPr>
                            <w:r>
                              <w:rPr>
                                <w:rFonts w:asciiTheme="minorHAnsi" w:hAnsi="Calibri" w:cstheme="minorBidi"/>
                                <w:color w:val="000000" w:themeColor="text1"/>
                                <w:sz w:val="20"/>
                                <w:szCs w:val="20"/>
                              </w:rPr>
                              <w:t>in 'Borrowers' and 'Savers' : they don't report such data</w:t>
                            </w:r>
                          </w:p>
                        </w:txbxContent>
                      </wps:txbx>
                      <wps:bodyPr vertOverflow="clip" horzOverflow="clip" wrap="none" lIns="36000" tIns="36000" rIns="36000" bIns="36000" rtlCol="0" anchor="t">
                        <a:noAutofit/>
                      </wps:bodyPr>
                    </wps:wsp>
                  </a:graphicData>
                </a:graphic>
                <wp14:sizeRelH relativeFrom="page">
                  <wp14:pctWidth>0</wp14:pctWidth>
                </wp14:sizeRelH>
                <wp14:sizeRelV relativeFrom="page">
                  <wp14:pctHeight>0</wp14:pctHeight>
                </wp14:sizeRelV>
              </wp:anchor>
            </w:drawing>
          </mc:Choice>
          <mc:Fallback>
            <w:pict>
              <v:shapetype w14:anchorId="10BCC181" id="_x0000_t202" coordsize="21600,21600" o:spt="202" path="m,l,21600r21600,l21600,xe">
                <v:stroke joinstyle="miter"/>
                <v:path gradientshapeok="t" o:connecttype="rect"/>
              </v:shapetype>
              <v:shape id="TextBox 2" o:spid="_x0000_s1026" type="#_x0000_t202" style="position:absolute;left:0;text-align:left;margin-left:168.75pt;margin-top:265pt;width:242.95pt;height:30.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" fillcolor="white [3212]" strokecolor="black [3213]">
                <v:fill opacity="32896f"/>
                <v:path arrowok="t"/>
                <v:textbox inset="1mm,1mm,1mm,1mm">
                  <w:txbxContent>
                    <w:p w14:paraId="421E6C6A" w14:textId="77777777" w:rsidR="00D60B08" w:rsidRDefault="00D60B08" w:rsidP="00706241">
                      <w:pPr>
                        <w:pStyle w:val="NormalWeb"/>
                        <w:spacing w:before="0" w:after="0"/>
                      </w:pPr>
                      <w:r>
                        <w:rPr>
                          <w:rFonts w:asciiTheme="minorHAnsi" w:hAnsi="Calibri" w:cstheme="minorBidi"/>
                          <w:color w:val="000000" w:themeColor="text1"/>
                          <w:sz w:val="20"/>
                          <w:szCs w:val="20"/>
                        </w:rPr>
                        <w:t>Note: Credit Unions are included in 'Active Clients' but not</w:t>
                      </w:r>
                    </w:p>
                    <w:p w14:paraId="2431F8F3" w14:textId="77777777" w:rsidR="00D60B08" w:rsidRDefault="00D60B08" w:rsidP="00706241">
                      <w:pPr>
                        <w:pStyle w:val="NormalWeb"/>
                        <w:spacing w:before="0" w:after="0"/>
                      </w:pPr>
                      <w:r>
                        <w:rPr>
                          <w:rFonts w:asciiTheme="minorHAnsi" w:hAnsi="Calibri" w:cstheme="minorBidi"/>
                          <w:color w:val="000000" w:themeColor="text1"/>
                          <w:sz w:val="20"/>
                          <w:szCs w:val="20"/>
                        </w:rPr>
                        <w:t>in 'Borrowers' and 'Savers' : they don't report such data</w:t>
                      </w:r>
                    </w:p>
                  </w:txbxContent>
                </v:textbox>
              </v:shape>
            </w:pict>
          </mc:Fallback>
        </mc:AlternateContent>
      </w:r>
    </w:p>
    <w:p w14:paraId="6B60BBAC" w14:textId="77777777" w:rsidR="00706241" w:rsidRPr="004E31E5" w:rsidRDefault="00706241" w:rsidP="00706241">
      <w:pPr>
        <w:pStyle w:val="Default"/>
        <w:jc w:val="both"/>
        <w:rPr>
          <w:rFonts w:ascii="Times New Roman" w:hAnsi="Times New Roman" w:cs="Times New Roman"/>
          <w:bCs/>
          <w:color w:val="auto"/>
          <w:lang w:val="en-GB" w:eastAsia="ja-JP"/>
        </w:rPr>
      </w:pPr>
    </w:p>
    <w:p w14:paraId="790C9996" w14:textId="77777777" w:rsidR="00706241" w:rsidRPr="004E31E5" w:rsidRDefault="00706241" w:rsidP="00706241">
      <w:pPr>
        <w:pStyle w:val="Default"/>
        <w:jc w:val="both"/>
      </w:pPr>
      <w:r w:rsidRPr="004E31E5">
        <w:rPr>
          <w:rFonts w:ascii="Times New Roman" w:hAnsi="Times New Roman" w:cs="Times New Roman"/>
          <w:color w:val="auto"/>
          <w:lang w:val="en-GB" w:eastAsia="ja-JP"/>
        </w:rPr>
        <w:t>Table 2 below, presents the growth in total number of clients served by INFUSE’s partner financia</w:t>
      </w:r>
      <w:r w:rsidR="0082712F" w:rsidRPr="004E31E5">
        <w:rPr>
          <w:rFonts w:ascii="Times New Roman" w:hAnsi="Times New Roman" w:cs="Times New Roman"/>
          <w:color w:val="auto"/>
          <w:lang w:val="en-GB" w:eastAsia="ja-JP"/>
        </w:rPr>
        <w:t>l service providers, MR and TRM through 2013. (</w:t>
      </w:r>
      <w:r w:rsidR="00611173" w:rsidRPr="004E31E5">
        <w:rPr>
          <w:rFonts w:ascii="Times New Roman" w:hAnsi="Times New Roman" w:cs="Times New Roman"/>
          <w:color w:val="auto"/>
          <w:lang w:val="en-GB" w:eastAsia="ja-JP"/>
        </w:rPr>
        <w:t>Only TRM has published numbers for 2014</w:t>
      </w:r>
      <w:r w:rsidR="0082712F" w:rsidRPr="004E31E5">
        <w:rPr>
          <w:rFonts w:ascii="Times New Roman" w:hAnsi="Times New Roman" w:cs="Times New Roman"/>
          <w:color w:val="auto"/>
          <w:lang w:val="en-GB" w:eastAsia="ja-JP"/>
        </w:rPr>
        <w:t>, so this is the latest available indicators.)</w:t>
      </w:r>
    </w:p>
    <w:p w14:paraId="736D031B" w14:textId="77777777" w:rsidR="00706241" w:rsidRPr="004E31E5" w:rsidRDefault="00706241" w:rsidP="00706241">
      <w:pPr>
        <w:pStyle w:val="Default"/>
        <w:jc w:val="both"/>
        <w:rPr>
          <w:rFonts w:ascii="Times New Roman" w:hAnsi="Times New Roman" w:cs="Times New Roman"/>
          <w:color w:val="auto"/>
          <w:lang w:val="en-GB" w:eastAsia="ja-JP"/>
        </w:rPr>
      </w:pPr>
    </w:p>
    <w:p w14:paraId="381D0723" w14:textId="77777777" w:rsidR="00706241" w:rsidRPr="004E31E5" w:rsidRDefault="00706241" w:rsidP="00706241">
      <w:pPr>
        <w:suppressAutoHyphens w:val="0"/>
        <w:autoSpaceDN/>
        <w:textAlignment w:val="auto"/>
      </w:pPr>
      <w:commentRangeStart w:id="45"/>
      <w:r w:rsidRPr="004E31E5">
        <w:rPr>
          <w:sz w:val="22"/>
          <w:szCs w:val="22"/>
          <w:lang w:val="en-GB" w:eastAsia="ja-JP"/>
        </w:rPr>
        <w:t xml:space="preserve">Table 2: </w:t>
      </w:r>
      <w:commentRangeEnd w:id="45"/>
      <w:r w:rsidR="00F62C22">
        <w:rPr>
          <w:rStyle w:val="CommentReference"/>
        </w:rPr>
        <w:commentReference w:id="45"/>
      </w:r>
      <w:r w:rsidRPr="004E31E5">
        <w:rPr>
          <w:sz w:val="22"/>
          <w:szCs w:val="22"/>
          <w:lang w:val="en-GB" w:eastAsia="ja-JP"/>
        </w:rPr>
        <w:t>Growth in outreach of financial services for MR and TRM</w:t>
      </w:r>
    </w:p>
    <w:tbl>
      <w:tblPr>
        <w:tblW w:w="10800" w:type="dxa"/>
        <w:tblInd w:w="198" w:type="dxa"/>
        <w:tblLayout w:type="fixed"/>
        <w:tblLook w:val="04A0" w:firstRow="1" w:lastRow="0" w:firstColumn="1" w:lastColumn="0" w:noHBand="0" w:noVBand="1"/>
      </w:tblPr>
      <w:tblGrid>
        <w:gridCol w:w="2070"/>
        <w:gridCol w:w="1260"/>
        <w:gridCol w:w="900"/>
        <w:gridCol w:w="900"/>
        <w:gridCol w:w="900"/>
        <w:gridCol w:w="900"/>
        <w:gridCol w:w="1260"/>
        <w:gridCol w:w="2610"/>
      </w:tblGrid>
      <w:tr w:rsidR="00611173" w:rsidRPr="00611173" w14:paraId="34A77416" w14:textId="77777777" w:rsidTr="004E31E5">
        <w:trPr>
          <w:trHeight w:val="850"/>
        </w:trPr>
        <w:tc>
          <w:tcPr>
            <w:tcW w:w="20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A7ABF2" w14:textId="77777777" w:rsidR="00611173" w:rsidRPr="00611173" w:rsidRDefault="00611173" w:rsidP="00611173">
            <w:pPr>
              <w:suppressAutoHyphens w:val="0"/>
              <w:autoSpaceDN/>
              <w:jc w:val="center"/>
              <w:textAlignment w:val="auto"/>
              <w:rPr>
                <w:color w:val="000000"/>
                <w:sz w:val="22"/>
                <w:szCs w:val="22"/>
              </w:rPr>
            </w:pPr>
            <w:r w:rsidRPr="00611173">
              <w:rPr>
                <w:color w:val="000000"/>
                <w:sz w:val="22"/>
                <w:szCs w:val="22"/>
              </w:rPr>
              <w:t>Indicator</w:t>
            </w:r>
          </w:p>
        </w:tc>
        <w:tc>
          <w:tcPr>
            <w:tcW w:w="6120" w:type="dxa"/>
            <w:gridSpan w:val="6"/>
            <w:tcBorders>
              <w:top w:val="single" w:sz="8" w:space="0" w:color="000000"/>
              <w:left w:val="nil"/>
              <w:bottom w:val="single" w:sz="8" w:space="0" w:color="000000"/>
              <w:right w:val="single" w:sz="8" w:space="0" w:color="000000"/>
            </w:tcBorders>
            <w:shd w:val="clear" w:color="auto" w:fill="auto"/>
            <w:vAlign w:val="center"/>
            <w:hideMark/>
          </w:tcPr>
          <w:p w14:paraId="577C41C6" w14:textId="77777777" w:rsidR="00611173" w:rsidRPr="00611173" w:rsidRDefault="00611173" w:rsidP="00611173">
            <w:pPr>
              <w:suppressAutoHyphens w:val="0"/>
              <w:autoSpaceDN/>
              <w:jc w:val="center"/>
              <w:textAlignment w:val="auto"/>
              <w:rPr>
                <w:color w:val="000000"/>
                <w:sz w:val="22"/>
                <w:szCs w:val="22"/>
              </w:rPr>
            </w:pPr>
            <w:r w:rsidRPr="00611173">
              <w:rPr>
                <w:color w:val="000000"/>
                <w:sz w:val="22"/>
                <w:szCs w:val="22"/>
              </w:rPr>
              <w:t>Number of Microfinance Clients (as at)</w:t>
            </w:r>
          </w:p>
        </w:tc>
        <w:tc>
          <w:tcPr>
            <w:tcW w:w="2610" w:type="dxa"/>
            <w:tcBorders>
              <w:top w:val="single" w:sz="8" w:space="0" w:color="000000"/>
              <w:left w:val="nil"/>
              <w:bottom w:val="single" w:sz="8" w:space="0" w:color="000000"/>
              <w:right w:val="single" w:sz="8" w:space="0" w:color="000000"/>
            </w:tcBorders>
            <w:shd w:val="clear" w:color="auto" w:fill="auto"/>
            <w:vAlign w:val="center"/>
            <w:hideMark/>
          </w:tcPr>
          <w:p w14:paraId="54F4211F" w14:textId="77777777" w:rsidR="00611173" w:rsidRPr="00611173" w:rsidRDefault="00611173" w:rsidP="00611173">
            <w:pPr>
              <w:suppressAutoHyphens w:val="0"/>
              <w:autoSpaceDN/>
              <w:jc w:val="center"/>
              <w:textAlignment w:val="auto"/>
              <w:rPr>
                <w:color w:val="000000"/>
                <w:sz w:val="22"/>
                <w:szCs w:val="22"/>
              </w:rPr>
            </w:pPr>
            <w:r w:rsidRPr="00611173">
              <w:rPr>
                <w:color w:val="000000"/>
                <w:sz w:val="22"/>
                <w:szCs w:val="22"/>
              </w:rPr>
              <w:t>Change in Client Numbers</w:t>
            </w:r>
          </w:p>
        </w:tc>
      </w:tr>
      <w:tr w:rsidR="004E31E5" w:rsidRPr="004E31E5" w14:paraId="0B54E681" w14:textId="77777777" w:rsidTr="004E31E5">
        <w:trPr>
          <w:trHeight w:val="300"/>
        </w:trPr>
        <w:tc>
          <w:tcPr>
            <w:tcW w:w="2070" w:type="dxa"/>
            <w:vMerge/>
            <w:tcBorders>
              <w:top w:val="single" w:sz="8" w:space="0" w:color="000000"/>
              <w:left w:val="single" w:sz="8" w:space="0" w:color="000000"/>
              <w:bottom w:val="single" w:sz="8" w:space="0" w:color="000000"/>
              <w:right w:val="single" w:sz="8" w:space="0" w:color="000000"/>
            </w:tcBorders>
            <w:vAlign w:val="center"/>
            <w:hideMark/>
          </w:tcPr>
          <w:p w14:paraId="171D30F5" w14:textId="77777777" w:rsidR="00611173" w:rsidRPr="00611173" w:rsidRDefault="00611173" w:rsidP="00611173">
            <w:pPr>
              <w:suppressAutoHyphens w:val="0"/>
              <w:autoSpaceDN/>
              <w:textAlignment w:val="auto"/>
              <w:rPr>
                <w:color w:val="000000"/>
                <w:sz w:val="22"/>
                <w:szCs w:val="22"/>
              </w:rPr>
            </w:pPr>
          </w:p>
        </w:tc>
        <w:tc>
          <w:tcPr>
            <w:tcW w:w="1260" w:type="dxa"/>
            <w:tcBorders>
              <w:top w:val="nil"/>
              <w:left w:val="nil"/>
              <w:bottom w:val="single" w:sz="8" w:space="0" w:color="000000"/>
              <w:right w:val="single" w:sz="8" w:space="0" w:color="000000"/>
            </w:tcBorders>
            <w:shd w:val="clear" w:color="auto" w:fill="auto"/>
            <w:vAlign w:val="center"/>
            <w:hideMark/>
          </w:tcPr>
          <w:p w14:paraId="55EBECFC" w14:textId="77777777" w:rsidR="00611173" w:rsidRPr="00611173" w:rsidRDefault="00611173" w:rsidP="00611173">
            <w:pPr>
              <w:suppressAutoHyphens w:val="0"/>
              <w:autoSpaceDN/>
              <w:jc w:val="center"/>
              <w:textAlignment w:val="auto"/>
              <w:rPr>
                <w:color w:val="000000"/>
                <w:sz w:val="22"/>
                <w:szCs w:val="22"/>
              </w:rPr>
            </w:pPr>
            <w:r w:rsidRPr="00611173">
              <w:rPr>
                <w:color w:val="000000"/>
                <w:sz w:val="22"/>
                <w:szCs w:val="22"/>
              </w:rPr>
              <w:t>4Q08</w:t>
            </w:r>
          </w:p>
        </w:tc>
        <w:tc>
          <w:tcPr>
            <w:tcW w:w="900" w:type="dxa"/>
            <w:tcBorders>
              <w:top w:val="nil"/>
              <w:left w:val="nil"/>
              <w:bottom w:val="single" w:sz="8" w:space="0" w:color="000000"/>
              <w:right w:val="single" w:sz="8" w:space="0" w:color="000000"/>
            </w:tcBorders>
            <w:shd w:val="clear" w:color="auto" w:fill="auto"/>
            <w:vAlign w:val="center"/>
            <w:hideMark/>
          </w:tcPr>
          <w:p w14:paraId="56EF7269" w14:textId="77777777" w:rsidR="00611173" w:rsidRPr="00611173" w:rsidRDefault="00611173" w:rsidP="00611173">
            <w:pPr>
              <w:suppressAutoHyphens w:val="0"/>
              <w:autoSpaceDN/>
              <w:jc w:val="center"/>
              <w:textAlignment w:val="auto"/>
              <w:rPr>
                <w:color w:val="000000"/>
                <w:sz w:val="22"/>
                <w:szCs w:val="22"/>
              </w:rPr>
            </w:pPr>
            <w:r w:rsidRPr="00611173">
              <w:rPr>
                <w:color w:val="000000"/>
                <w:sz w:val="22"/>
                <w:szCs w:val="22"/>
              </w:rPr>
              <w:t>4Q09</w:t>
            </w:r>
          </w:p>
        </w:tc>
        <w:tc>
          <w:tcPr>
            <w:tcW w:w="900" w:type="dxa"/>
            <w:tcBorders>
              <w:top w:val="nil"/>
              <w:left w:val="nil"/>
              <w:bottom w:val="single" w:sz="8" w:space="0" w:color="000000"/>
              <w:right w:val="single" w:sz="8" w:space="0" w:color="000000"/>
            </w:tcBorders>
            <w:shd w:val="clear" w:color="auto" w:fill="auto"/>
            <w:vAlign w:val="center"/>
            <w:hideMark/>
          </w:tcPr>
          <w:p w14:paraId="3B051171" w14:textId="77777777" w:rsidR="00611173" w:rsidRPr="00611173" w:rsidRDefault="00611173" w:rsidP="00611173">
            <w:pPr>
              <w:suppressAutoHyphens w:val="0"/>
              <w:autoSpaceDN/>
              <w:jc w:val="center"/>
              <w:textAlignment w:val="auto"/>
              <w:rPr>
                <w:color w:val="000000"/>
                <w:sz w:val="22"/>
                <w:szCs w:val="22"/>
              </w:rPr>
            </w:pPr>
            <w:r w:rsidRPr="00611173">
              <w:rPr>
                <w:color w:val="000000"/>
                <w:sz w:val="22"/>
                <w:szCs w:val="22"/>
              </w:rPr>
              <w:t>4Q10</w:t>
            </w:r>
          </w:p>
        </w:tc>
        <w:tc>
          <w:tcPr>
            <w:tcW w:w="900" w:type="dxa"/>
            <w:tcBorders>
              <w:top w:val="nil"/>
              <w:left w:val="nil"/>
              <w:bottom w:val="single" w:sz="8" w:space="0" w:color="000000"/>
              <w:right w:val="single" w:sz="8" w:space="0" w:color="000000"/>
            </w:tcBorders>
            <w:shd w:val="clear" w:color="auto" w:fill="auto"/>
            <w:vAlign w:val="center"/>
            <w:hideMark/>
          </w:tcPr>
          <w:p w14:paraId="4C7AFA16" w14:textId="77777777" w:rsidR="00611173" w:rsidRPr="00611173" w:rsidRDefault="00611173" w:rsidP="00611173">
            <w:pPr>
              <w:suppressAutoHyphens w:val="0"/>
              <w:autoSpaceDN/>
              <w:jc w:val="center"/>
              <w:textAlignment w:val="auto"/>
              <w:rPr>
                <w:color w:val="000000"/>
                <w:sz w:val="22"/>
                <w:szCs w:val="22"/>
              </w:rPr>
            </w:pPr>
            <w:r w:rsidRPr="00611173">
              <w:rPr>
                <w:color w:val="000000"/>
                <w:sz w:val="22"/>
                <w:szCs w:val="22"/>
              </w:rPr>
              <w:t>4Q11</w:t>
            </w:r>
          </w:p>
        </w:tc>
        <w:tc>
          <w:tcPr>
            <w:tcW w:w="900" w:type="dxa"/>
            <w:tcBorders>
              <w:top w:val="nil"/>
              <w:left w:val="nil"/>
              <w:bottom w:val="single" w:sz="8" w:space="0" w:color="000000"/>
              <w:right w:val="single" w:sz="8" w:space="0" w:color="000000"/>
            </w:tcBorders>
            <w:shd w:val="clear" w:color="auto" w:fill="auto"/>
            <w:vAlign w:val="center"/>
            <w:hideMark/>
          </w:tcPr>
          <w:p w14:paraId="24D8F642" w14:textId="77777777" w:rsidR="00611173" w:rsidRPr="00611173" w:rsidRDefault="00611173" w:rsidP="00611173">
            <w:pPr>
              <w:suppressAutoHyphens w:val="0"/>
              <w:autoSpaceDN/>
              <w:jc w:val="center"/>
              <w:textAlignment w:val="auto"/>
              <w:rPr>
                <w:color w:val="000000"/>
                <w:sz w:val="22"/>
                <w:szCs w:val="22"/>
              </w:rPr>
            </w:pPr>
            <w:r w:rsidRPr="00611173">
              <w:rPr>
                <w:color w:val="000000"/>
                <w:sz w:val="22"/>
                <w:szCs w:val="22"/>
              </w:rPr>
              <w:t>4Q12</w:t>
            </w:r>
          </w:p>
        </w:tc>
        <w:tc>
          <w:tcPr>
            <w:tcW w:w="1260" w:type="dxa"/>
            <w:tcBorders>
              <w:top w:val="nil"/>
              <w:left w:val="nil"/>
              <w:bottom w:val="single" w:sz="8" w:space="0" w:color="000000"/>
              <w:right w:val="single" w:sz="8" w:space="0" w:color="000000"/>
            </w:tcBorders>
            <w:shd w:val="clear" w:color="auto" w:fill="auto"/>
            <w:vAlign w:val="center"/>
            <w:hideMark/>
          </w:tcPr>
          <w:p w14:paraId="326C1AC5" w14:textId="77777777" w:rsidR="00611173" w:rsidRPr="00611173" w:rsidRDefault="00611173" w:rsidP="00611173">
            <w:pPr>
              <w:suppressAutoHyphens w:val="0"/>
              <w:autoSpaceDN/>
              <w:jc w:val="center"/>
              <w:textAlignment w:val="auto"/>
              <w:rPr>
                <w:color w:val="000000"/>
                <w:sz w:val="22"/>
                <w:szCs w:val="22"/>
              </w:rPr>
            </w:pPr>
            <w:r w:rsidRPr="00611173">
              <w:rPr>
                <w:color w:val="000000"/>
                <w:sz w:val="22"/>
                <w:szCs w:val="22"/>
              </w:rPr>
              <w:t>4Q13</w:t>
            </w:r>
          </w:p>
        </w:tc>
        <w:tc>
          <w:tcPr>
            <w:tcW w:w="2610" w:type="dxa"/>
            <w:tcBorders>
              <w:top w:val="nil"/>
              <w:left w:val="nil"/>
              <w:bottom w:val="single" w:sz="8" w:space="0" w:color="000000"/>
              <w:right w:val="single" w:sz="8" w:space="0" w:color="000000"/>
            </w:tcBorders>
            <w:shd w:val="clear" w:color="auto" w:fill="auto"/>
            <w:vAlign w:val="center"/>
            <w:hideMark/>
          </w:tcPr>
          <w:p w14:paraId="784BB468" w14:textId="77777777" w:rsidR="00611173" w:rsidRPr="00611173" w:rsidRDefault="00611173" w:rsidP="00611173">
            <w:pPr>
              <w:suppressAutoHyphens w:val="0"/>
              <w:autoSpaceDN/>
              <w:jc w:val="center"/>
              <w:textAlignment w:val="auto"/>
              <w:rPr>
                <w:color w:val="000000"/>
                <w:sz w:val="22"/>
                <w:szCs w:val="22"/>
              </w:rPr>
            </w:pPr>
            <w:r w:rsidRPr="00611173">
              <w:rPr>
                <w:color w:val="000000"/>
                <w:sz w:val="22"/>
                <w:szCs w:val="22"/>
              </w:rPr>
              <w:t>4Q08 – 13</w:t>
            </w:r>
          </w:p>
        </w:tc>
      </w:tr>
      <w:tr w:rsidR="004E31E5" w:rsidRPr="004E31E5" w14:paraId="2EFF3EEA" w14:textId="77777777" w:rsidTr="004E31E5">
        <w:trPr>
          <w:trHeight w:val="320"/>
        </w:trPr>
        <w:tc>
          <w:tcPr>
            <w:tcW w:w="2070" w:type="dxa"/>
            <w:tcBorders>
              <w:top w:val="nil"/>
              <w:left w:val="single" w:sz="8" w:space="0" w:color="000000"/>
              <w:bottom w:val="single" w:sz="8" w:space="0" w:color="000000"/>
              <w:right w:val="single" w:sz="8" w:space="0" w:color="000000"/>
            </w:tcBorders>
            <w:shd w:val="clear" w:color="auto" w:fill="auto"/>
            <w:noWrap/>
            <w:vAlign w:val="center"/>
            <w:hideMark/>
          </w:tcPr>
          <w:p w14:paraId="531BABEB" w14:textId="77777777" w:rsidR="00611173" w:rsidRPr="00611173" w:rsidRDefault="00611173" w:rsidP="00611173">
            <w:pPr>
              <w:suppressAutoHyphens w:val="0"/>
              <w:autoSpaceDN/>
              <w:textAlignment w:val="auto"/>
              <w:rPr>
                <w:color w:val="000000"/>
                <w:sz w:val="22"/>
                <w:szCs w:val="22"/>
              </w:rPr>
            </w:pPr>
            <w:r w:rsidRPr="00611173">
              <w:rPr>
                <w:color w:val="000000"/>
                <w:sz w:val="22"/>
                <w:szCs w:val="22"/>
              </w:rPr>
              <w:t>Active Clients</w:t>
            </w:r>
          </w:p>
        </w:tc>
        <w:tc>
          <w:tcPr>
            <w:tcW w:w="1260" w:type="dxa"/>
            <w:tcBorders>
              <w:top w:val="nil"/>
              <w:left w:val="nil"/>
              <w:bottom w:val="single" w:sz="8" w:space="0" w:color="000000"/>
              <w:right w:val="single" w:sz="8" w:space="0" w:color="000000"/>
            </w:tcBorders>
            <w:shd w:val="clear" w:color="auto" w:fill="auto"/>
            <w:noWrap/>
            <w:vAlign w:val="center"/>
            <w:hideMark/>
          </w:tcPr>
          <w:p w14:paraId="679F3408"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14,112</w:t>
            </w:r>
          </w:p>
        </w:tc>
        <w:tc>
          <w:tcPr>
            <w:tcW w:w="900" w:type="dxa"/>
            <w:tcBorders>
              <w:top w:val="nil"/>
              <w:left w:val="nil"/>
              <w:bottom w:val="single" w:sz="8" w:space="0" w:color="000000"/>
              <w:right w:val="single" w:sz="8" w:space="0" w:color="000000"/>
            </w:tcBorders>
            <w:shd w:val="clear" w:color="auto" w:fill="auto"/>
            <w:noWrap/>
            <w:vAlign w:val="center"/>
            <w:hideMark/>
          </w:tcPr>
          <w:p w14:paraId="619BF2B1"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14,030</w:t>
            </w:r>
          </w:p>
        </w:tc>
        <w:tc>
          <w:tcPr>
            <w:tcW w:w="900" w:type="dxa"/>
            <w:tcBorders>
              <w:top w:val="nil"/>
              <w:left w:val="nil"/>
              <w:bottom w:val="single" w:sz="8" w:space="0" w:color="000000"/>
              <w:right w:val="single" w:sz="8" w:space="0" w:color="000000"/>
            </w:tcBorders>
            <w:shd w:val="clear" w:color="auto" w:fill="auto"/>
            <w:noWrap/>
            <w:vAlign w:val="center"/>
            <w:hideMark/>
          </w:tcPr>
          <w:p w14:paraId="36BA5DB2"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14,734</w:t>
            </w:r>
          </w:p>
        </w:tc>
        <w:tc>
          <w:tcPr>
            <w:tcW w:w="900" w:type="dxa"/>
            <w:tcBorders>
              <w:top w:val="nil"/>
              <w:left w:val="nil"/>
              <w:bottom w:val="single" w:sz="8" w:space="0" w:color="000000"/>
              <w:right w:val="single" w:sz="8" w:space="0" w:color="000000"/>
            </w:tcBorders>
            <w:shd w:val="clear" w:color="auto" w:fill="auto"/>
            <w:vAlign w:val="center"/>
            <w:hideMark/>
          </w:tcPr>
          <w:p w14:paraId="26A956FF"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19,627</w:t>
            </w:r>
          </w:p>
        </w:tc>
        <w:tc>
          <w:tcPr>
            <w:tcW w:w="900" w:type="dxa"/>
            <w:tcBorders>
              <w:top w:val="nil"/>
              <w:left w:val="nil"/>
              <w:bottom w:val="single" w:sz="8" w:space="0" w:color="000000"/>
              <w:right w:val="single" w:sz="8" w:space="0" w:color="000000"/>
            </w:tcBorders>
            <w:shd w:val="clear" w:color="auto" w:fill="auto"/>
            <w:noWrap/>
            <w:vAlign w:val="center"/>
            <w:hideMark/>
          </w:tcPr>
          <w:p w14:paraId="497B4C9A"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19,401</w:t>
            </w:r>
          </w:p>
        </w:tc>
        <w:tc>
          <w:tcPr>
            <w:tcW w:w="1260" w:type="dxa"/>
            <w:tcBorders>
              <w:top w:val="nil"/>
              <w:left w:val="nil"/>
              <w:bottom w:val="single" w:sz="8" w:space="0" w:color="000000"/>
              <w:right w:val="single" w:sz="8" w:space="0" w:color="000000"/>
            </w:tcBorders>
            <w:shd w:val="clear" w:color="auto" w:fill="auto"/>
            <w:vAlign w:val="center"/>
            <w:hideMark/>
          </w:tcPr>
          <w:p w14:paraId="1A36933A"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16,601</w:t>
            </w:r>
          </w:p>
        </w:tc>
        <w:tc>
          <w:tcPr>
            <w:tcW w:w="2610" w:type="dxa"/>
            <w:tcBorders>
              <w:top w:val="nil"/>
              <w:left w:val="nil"/>
              <w:bottom w:val="single" w:sz="8" w:space="0" w:color="000000"/>
              <w:right w:val="single" w:sz="8" w:space="0" w:color="000000"/>
            </w:tcBorders>
            <w:shd w:val="clear" w:color="auto" w:fill="auto"/>
            <w:noWrap/>
            <w:vAlign w:val="center"/>
            <w:hideMark/>
          </w:tcPr>
          <w:p w14:paraId="3ABAE566" w14:textId="77777777" w:rsidR="00611173" w:rsidRPr="00611173" w:rsidRDefault="00611173" w:rsidP="00611173">
            <w:pPr>
              <w:suppressAutoHyphens w:val="0"/>
              <w:autoSpaceDN/>
              <w:jc w:val="right"/>
              <w:textAlignment w:val="auto"/>
              <w:rPr>
                <w:color w:val="000000"/>
              </w:rPr>
            </w:pPr>
            <w:r w:rsidRPr="00611173">
              <w:rPr>
                <w:color w:val="000000"/>
              </w:rPr>
              <w:t>2,489</w:t>
            </w:r>
          </w:p>
        </w:tc>
      </w:tr>
      <w:tr w:rsidR="004E31E5" w:rsidRPr="004E31E5" w14:paraId="7E658D66" w14:textId="77777777" w:rsidTr="004E31E5">
        <w:trPr>
          <w:trHeight w:val="320"/>
        </w:trPr>
        <w:tc>
          <w:tcPr>
            <w:tcW w:w="2070" w:type="dxa"/>
            <w:tcBorders>
              <w:top w:val="nil"/>
              <w:left w:val="single" w:sz="8" w:space="0" w:color="000000"/>
              <w:bottom w:val="single" w:sz="8" w:space="0" w:color="000000"/>
              <w:right w:val="single" w:sz="8" w:space="0" w:color="000000"/>
            </w:tcBorders>
            <w:shd w:val="clear" w:color="auto" w:fill="auto"/>
            <w:noWrap/>
            <w:vAlign w:val="center"/>
            <w:hideMark/>
          </w:tcPr>
          <w:p w14:paraId="111D6E14" w14:textId="77777777" w:rsidR="00611173" w:rsidRPr="00611173" w:rsidRDefault="00611173" w:rsidP="00611173">
            <w:pPr>
              <w:suppressAutoHyphens w:val="0"/>
              <w:autoSpaceDN/>
              <w:textAlignment w:val="auto"/>
              <w:rPr>
                <w:color w:val="000000"/>
                <w:sz w:val="22"/>
                <w:szCs w:val="22"/>
              </w:rPr>
            </w:pPr>
            <w:r w:rsidRPr="00611173">
              <w:rPr>
                <w:color w:val="000000"/>
                <w:sz w:val="22"/>
                <w:szCs w:val="22"/>
              </w:rPr>
              <w:t>Borrowers</w:t>
            </w:r>
          </w:p>
        </w:tc>
        <w:tc>
          <w:tcPr>
            <w:tcW w:w="1260" w:type="dxa"/>
            <w:tcBorders>
              <w:top w:val="nil"/>
              <w:left w:val="nil"/>
              <w:bottom w:val="single" w:sz="8" w:space="0" w:color="000000"/>
              <w:right w:val="single" w:sz="8" w:space="0" w:color="000000"/>
            </w:tcBorders>
            <w:shd w:val="clear" w:color="auto" w:fill="auto"/>
            <w:noWrap/>
            <w:vAlign w:val="center"/>
            <w:hideMark/>
          </w:tcPr>
          <w:p w14:paraId="3114AB4A"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14,112</w:t>
            </w:r>
          </w:p>
        </w:tc>
        <w:tc>
          <w:tcPr>
            <w:tcW w:w="900" w:type="dxa"/>
            <w:tcBorders>
              <w:top w:val="nil"/>
              <w:left w:val="nil"/>
              <w:bottom w:val="single" w:sz="8" w:space="0" w:color="000000"/>
              <w:right w:val="single" w:sz="8" w:space="0" w:color="000000"/>
            </w:tcBorders>
            <w:shd w:val="clear" w:color="auto" w:fill="auto"/>
            <w:noWrap/>
            <w:vAlign w:val="center"/>
            <w:hideMark/>
          </w:tcPr>
          <w:p w14:paraId="00FC0E4D"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14,030</w:t>
            </w:r>
          </w:p>
        </w:tc>
        <w:tc>
          <w:tcPr>
            <w:tcW w:w="900" w:type="dxa"/>
            <w:tcBorders>
              <w:top w:val="nil"/>
              <w:left w:val="nil"/>
              <w:bottom w:val="single" w:sz="8" w:space="0" w:color="000000"/>
              <w:right w:val="single" w:sz="8" w:space="0" w:color="000000"/>
            </w:tcBorders>
            <w:shd w:val="clear" w:color="auto" w:fill="auto"/>
            <w:noWrap/>
            <w:vAlign w:val="center"/>
            <w:hideMark/>
          </w:tcPr>
          <w:p w14:paraId="60BD6056"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14,581</w:t>
            </w:r>
          </w:p>
        </w:tc>
        <w:tc>
          <w:tcPr>
            <w:tcW w:w="900" w:type="dxa"/>
            <w:tcBorders>
              <w:top w:val="nil"/>
              <w:left w:val="nil"/>
              <w:bottom w:val="single" w:sz="8" w:space="0" w:color="000000"/>
              <w:right w:val="single" w:sz="8" w:space="0" w:color="000000"/>
            </w:tcBorders>
            <w:shd w:val="clear" w:color="auto" w:fill="auto"/>
            <w:vAlign w:val="center"/>
            <w:hideMark/>
          </w:tcPr>
          <w:p w14:paraId="5C259E34"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17,036</w:t>
            </w:r>
          </w:p>
        </w:tc>
        <w:tc>
          <w:tcPr>
            <w:tcW w:w="900" w:type="dxa"/>
            <w:tcBorders>
              <w:top w:val="nil"/>
              <w:left w:val="nil"/>
              <w:bottom w:val="single" w:sz="8" w:space="0" w:color="000000"/>
              <w:right w:val="single" w:sz="8" w:space="0" w:color="000000"/>
            </w:tcBorders>
            <w:shd w:val="clear" w:color="auto" w:fill="auto"/>
            <w:noWrap/>
            <w:vAlign w:val="center"/>
            <w:hideMark/>
          </w:tcPr>
          <w:p w14:paraId="2A3329D4"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16,864</w:t>
            </w:r>
          </w:p>
        </w:tc>
        <w:tc>
          <w:tcPr>
            <w:tcW w:w="1260" w:type="dxa"/>
            <w:tcBorders>
              <w:top w:val="nil"/>
              <w:left w:val="nil"/>
              <w:bottom w:val="single" w:sz="8" w:space="0" w:color="000000"/>
              <w:right w:val="single" w:sz="8" w:space="0" w:color="000000"/>
            </w:tcBorders>
            <w:shd w:val="clear" w:color="auto" w:fill="auto"/>
            <w:vAlign w:val="center"/>
            <w:hideMark/>
          </w:tcPr>
          <w:p w14:paraId="07D863F0" w14:textId="77777777" w:rsidR="004E31E5" w:rsidRPr="00611173" w:rsidRDefault="004E31E5" w:rsidP="004E31E5">
            <w:pPr>
              <w:suppressAutoHyphens w:val="0"/>
              <w:autoSpaceDN/>
              <w:jc w:val="right"/>
              <w:textAlignment w:val="auto"/>
              <w:rPr>
                <w:color w:val="000000"/>
                <w:sz w:val="22"/>
                <w:szCs w:val="22"/>
              </w:rPr>
            </w:pPr>
            <w:r w:rsidRPr="004E31E5">
              <w:rPr>
                <w:color w:val="000000"/>
                <w:sz w:val="22"/>
                <w:szCs w:val="22"/>
              </w:rPr>
              <w:t>14,048</w:t>
            </w:r>
          </w:p>
        </w:tc>
        <w:tc>
          <w:tcPr>
            <w:tcW w:w="2610" w:type="dxa"/>
            <w:tcBorders>
              <w:top w:val="nil"/>
              <w:left w:val="nil"/>
              <w:bottom w:val="single" w:sz="8" w:space="0" w:color="000000"/>
              <w:right w:val="single" w:sz="8" w:space="0" w:color="000000"/>
            </w:tcBorders>
            <w:shd w:val="clear" w:color="auto" w:fill="auto"/>
            <w:noWrap/>
            <w:vAlign w:val="center"/>
            <w:hideMark/>
          </w:tcPr>
          <w:p w14:paraId="137EB154" w14:textId="77777777" w:rsidR="00611173" w:rsidRPr="00611173" w:rsidRDefault="00611173" w:rsidP="00611173">
            <w:pPr>
              <w:suppressAutoHyphens w:val="0"/>
              <w:autoSpaceDN/>
              <w:jc w:val="right"/>
              <w:textAlignment w:val="auto"/>
              <w:rPr>
                <w:color w:val="000000"/>
              </w:rPr>
            </w:pPr>
            <w:r w:rsidRPr="00611173">
              <w:rPr>
                <w:color w:val="000000"/>
              </w:rPr>
              <w:t>-747</w:t>
            </w:r>
          </w:p>
        </w:tc>
      </w:tr>
      <w:tr w:rsidR="004E31E5" w:rsidRPr="004E31E5" w14:paraId="174C4575" w14:textId="77777777" w:rsidTr="004E31E5">
        <w:trPr>
          <w:trHeight w:val="320"/>
        </w:trPr>
        <w:tc>
          <w:tcPr>
            <w:tcW w:w="2070" w:type="dxa"/>
            <w:tcBorders>
              <w:top w:val="nil"/>
              <w:left w:val="single" w:sz="8" w:space="0" w:color="000000"/>
              <w:bottom w:val="single" w:sz="8" w:space="0" w:color="000000"/>
              <w:right w:val="single" w:sz="8" w:space="0" w:color="000000"/>
            </w:tcBorders>
            <w:shd w:val="clear" w:color="auto" w:fill="auto"/>
            <w:noWrap/>
            <w:vAlign w:val="center"/>
            <w:hideMark/>
          </w:tcPr>
          <w:p w14:paraId="18EE7080" w14:textId="77777777" w:rsidR="00611173" w:rsidRPr="00611173" w:rsidRDefault="00611173" w:rsidP="00611173">
            <w:pPr>
              <w:suppressAutoHyphens w:val="0"/>
              <w:autoSpaceDN/>
              <w:textAlignment w:val="auto"/>
              <w:rPr>
                <w:color w:val="000000"/>
                <w:sz w:val="22"/>
                <w:szCs w:val="22"/>
              </w:rPr>
            </w:pPr>
            <w:r w:rsidRPr="00611173">
              <w:rPr>
                <w:color w:val="000000"/>
                <w:sz w:val="22"/>
                <w:szCs w:val="22"/>
              </w:rPr>
              <w:t>Women Borrowers</w:t>
            </w:r>
          </w:p>
        </w:tc>
        <w:tc>
          <w:tcPr>
            <w:tcW w:w="1260" w:type="dxa"/>
            <w:tcBorders>
              <w:top w:val="nil"/>
              <w:left w:val="nil"/>
              <w:bottom w:val="single" w:sz="8" w:space="0" w:color="000000"/>
              <w:right w:val="single" w:sz="8" w:space="0" w:color="000000"/>
            </w:tcBorders>
            <w:shd w:val="clear" w:color="auto" w:fill="auto"/>
            <w:noWrap/>
            <w:vAlign w:val="center"/>
            <w:hideMark/>
          </w:tcPr>
          <w:p w14:paraId="0E5EAE74"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13,095</w:t>
            </w:r>
          </w:p>
        </w:tc>
        <w:tc>
          <w:tcPr>
            <w:tcW w:w="900" w:type="dxa"/>
            <w:tcBorders>
              <w:top w:val="nil"/>
              <w:left w:val="nil"/>
              <w:bottom w:val="single" w:sz="8" w:space="0" w:color="000000"/>
              <w:right w:val="single" w:sz="8" w:space="0" w:color="000000"/>
            </w:tcBorders>
            <w:shd w:val="clear" w:color="auto" w:fill="auto"/>
            <w:noWrap/>
            <w:vAlign w:val="center"/>
            <w:hideMark/>
          </w:tcPr>
          <w:p w14:paraId="61574459"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12,799</w:t>
            </w:r>
          </w:p>
        </w:tc>
        <w:tc>
          <w:tcPr>
            <w:tcW w:w="900" w:type="dxa"/>
            <w:tcBorders>
              <w:top w:val="nil"/>
              <w:left w:val="nil"/>
              <w:bottom w:val="single" w:sz="8" w:space="0" w:color="000000"/>
              <w:right w:val="single" w:sz="8" w:space="0" w:color="000000"/>
            </w:tcBorders>
            <w:shd w:val="clear" w:color="auto" w:fill="auto"/>
            <w:noWrap/>
            <w:vAlign w:val="center"/>
            <w:hideMark/>
          </w:tcPr>
          <w:p w14:paraId="6BE5EA9D"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13,444</w:t>
            </w:r>
          </w:p>
        </w:tc>
        <w:tc>
          <w:tcPr>
            <w:tcW w:w="900" w:type="dxa"/>
            <w:tcBorders>
              <w:top w:val="nil"/>
              <w:left w:val="nil"/>
              <w:bottom w:val="single" w:sz="8" w:space="0" w:color="000000"/>
              <w:right w:val="single" w:sz="8" w:space="0" w:color="000000"/>
            </w:tcBorders>
            <w:shd w:val="clear" w:color="auto" w:fill="auto"/>
            <w:vAlign w:val="center"/>
            <w:hideMark/>
          </w:tcPr>
          <w:p w14:paraId="6E667288"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15,857</w:t>
            </w:r>
          </w:p>
        </w:tc>
        <w:tc>
          <w:tcPr>
            <w:tcW w:w="900" w:type="dxa"/>
            <w:tcBorders>
              <w:top w:val="nil"/>
              <w:left w:val="nil"/>
              <w:bottom w:val="single" w:sz="8" w:space="0" w:color="000000"/>
              <w:right w:val="single" w:sz="8" w:space="0" w:color="000000"/>
            </w:tcBorders>
            <w:shd w:val="clear" w:color="auto" w:fill="auto"/>
            <w:noWrap/>
            <w:vAlign w:val="center"/>
            <w:hideMark/>
          </w:tcPr>
          <w:p w14:paraId="6B44C204"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15,000</w:t>
            </w:r>
          </w:p>
        </w:tc>
        <w:tc>
          <w:tcPr>
            <w:tcW w:w="1260" w:type="dxa"/>
            <w:tcBorders>
              <w:top w:val="nil"/>
              <w:left w:val="nil"/>
              <w:bottom w:val="single" w:sz="8" w:space="0" w:color="000000"/>
              <w:right w:val="single" w:sz="8" w:space="0" w:color="000000"/>
            </w:tcBorders>
            <w:shd w:val="clear" w:color="auto" w:fill="auto"/>
            <w:vAlign w:val="center"/>
            <w:hideMark/>
          </w:tcPr>
          <w:p w14:paraId="47D401F9"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13,733</w:t>
            </w:r>
          </w:p>
        </w:tc>
        <w:tc>
          <w:tcPr>
            <w:tcW w:w="2610" w:type="dxa"/>
            <w:tcBorders>
              <w:top w:val="nil"/>
              <w:left w:val="nil"/>
              <w:bottom w:val="single" w:sz="8" w:space="0" w:color="000000"/>
              <w:right w:val="single" w:sz="8" w:space="0" w:color="000000"/>
            </w:tcBorders>
            <w:shd w:val="clear" w:color="auto" w:fill="auto"/>
            <w:noWrap/>
            <w:vAlign w:val="center"/>
            <w:hideMark/>
          </w:tcPr>
          <w:p w14:paraId="2B5C844D" w14:textId="77777777" w:rsidR="00611173" w:rsidRPr="00611173" w:rsidRDefault="00611173" w:rsidP="00611173">
            <w:pPr>
              <w:suppressAutoHyphens w:val="0"/>
              <w:autoSpaceDN/>
              <w:jc w:val="right"/>
              <w:textAlignment w:val="auto"/>
              <w:rPr>
                <w:color w:val="000000"/>
              </w:rPr>
            </w:pPr>
            <w:r w:rsidRPr="00611173">
              <w:rPr>
                <w:color w:val="000000"/>
              </w:rPr>
              <w:t>638</w:t>
            </w:r>
          </w:p>
        </w:tc>
      </w:tr>
      <w:tr w:rsidR="004E31E5" w:rsidRPr="004E31E5" w14:paraId="031E04C4" w14:textId="77777777" w:rsidTr="004E31E5">
        <w:trPr>
          <w:trHeight w:val="320"/>
        </w:trPr>
        <w:tc>
          <w:tcPr>
            <w:tcW w:w="2070" w:type="dxa"/>
            <w:tcBorders>
              <w:top w:val="nil"/>
              <w:left w:val="single" w:sz="8" w:space="0" w:color="000000"/>
              <w:bottom w:val="single" w:sz="8" w:space="0" w:color="000000"/>
              <w:right w:val="single" w:sz="8" w:space="0" w:color="000000"/>
            </w:tcBorders>
            <w:shd w:val="clear" w:color="auto" w:fill="auto"/>
            <w:noWrap/>
            <w:vAlign w:val="center"/>
            <w:hideMark/>
          </w:tcPr>
          <w:p w14:paraId="641157EB" w14:textId="77777777" w:rsidR="00611173" w:rsidRPr="00611173" w:rsidRDefault="00611173" w:rsidP="00611173">
            <w:pPr>
              <w:suppressAutoHyphens w:val="0"/>
              <w:autoSpaceDN/>
              <w:textAlignment w:val="auto"/>
              <w:rPr>
                <w:color w:val="000000"/>
                <w:sz w:val="22"/>
                <w:szCs w:val="22"/>
              </w:rPr>
            </w:pPr>
            <w:r w:rsidRPr="00611173">
              <w:rPr>
                <w:color w:val="000000"/>
                <w:sz w:val="22"/>
                <w:szCs w:val="22"/>
              </w:rPr>
              <w:t>Savers</w:t>
            </w:r>
          </w:p>
        </w:tc>
        <w:tc>
          <w:tcPr>
            <w:tcW w:w="1260" w:type="dxa"/>
            <w:tcBorders>
              <w:top w:val="nil"/>
              <w:left w:val="nil"/>
              <w:bottom w:val="single" w:sz="8" w:space="0" w:color="000000"/>
              <w:right w:val="single" w:sz="8" w:space="0" w:color="000000"/>
            </w:tcBorders>
            <w:shd w:val="clear" w:color="auto" w:fill="auto"/>
            <w:noWrap/>
            <w:vAlign w:val="center"/>
            <w:hideMark/>
          </w:tcPr>
          <w:p w14:paraId="0866B7FA"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13,476</w:t>
            </w:r>
          </w:p>
        </w:tc>
        <w:tc>
          <w:tcPr>
            <w:tcW w:w="900" w:type="dxa"/>
            <w:tcBorders>
              <w:top w:val="nil"/>
              <w:left w:val="nil"/>
              <w:bottom w:val="single" w:sz="8" w:space="0" w:color="000000"/>
              <w:right w:val="single" w:sz="8" w:space="0" w:color="000000"/>
            </w:tcBorders>
            <w:shd w:val="clear" w:color="auto" w:fill="auto"/>
            <w:noWrap/>
            <w:vAlign w:val="center"/>
            <w:hideMark/>
          </w:tcPr>
          <w:p w14:paraId="67ACB0FC"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13,915</w:t>
            </w:r>
          </w:p>
        </w:tc>
        <w:tc>
          <w:tcPr>
            <w:tcW w:w="900" w:type="dxa"/>
            <w:tcBorders>
              <w:top w:val="nil"/>
              <w:left w:val="nil"/>
              <w:bottom w:val="single" w:sz="8" w:space="0" w:color="000000"/>
              <w:right w:val="single" w:sz="8" w:space="0" w:color="000000"/>
            </w:tcBorders>
            <w:shd w:val="clear" w:color="auto" w:fill="auto"/>
            <w:noWrap/>
            <w:vAlign w:val="center"/>
            <w:hideMark/>
          </w:tcPr>
          <w:p w14:paraId="670E921B"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14,734</w:t>
            </w:r>
          </w:p>
        </w:tc>
        <w:tc>
          <w:tcPr>
            <w:tcW w:w="900" w:type="dxa"/>
            <w:tcBorders>
              <w:top w:val="nil"/>
              <w:left w:val="nil"/>
              <w:bottom w:val="single" w:sz="8" w:space="0" w:color="000000"/>
              <w:right w:val="single" w:sz="8" w:space="0" w:color="000000"/>
            </w:tcBorders>
            <w:shd w:val="clear" w:color="auto" w:fill="auto"/>
            <w:vAlign w:val="center"/>
            <w:hideMark/>
          </w:tcPr>
          <w:p w14:paraId="3507F87D"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16,326</w:t>
            </w:r>
          </w:p>
        </w:tc>
        <w:tc>
          <w:tcPr>
            <w:tcW w:w="900" w:type="dxa"/>
            <w:tcBorders>
              <w:top w:val="nil"/>
              <w:left w:val="nil"/>
              <w:bottom w:val="single" w:sz="8" w:space="0" w:color="000000"/>
              <w:right w:val="single" w:sz="8" w:space="0" w:color="000000"/>
            </w:tcBorders>
            <w:shd w:val="clear" w:color="auto" w:fill="auto"/>
            <w:noWrap/>
            <w:vAlign w:val="center"/>
            <w:hideMark/>
          </w:tcPr>
          <w:p w14:paraId="0DD4B5B8"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15,287</w:t>
            </w:r>
          </w:p>
        </w:tc>
        <w:tc>
          <w:tcPr>
            <w:tcW w:w="1260" w:type="dxa"/>
            <w:tcBorders>
              <w:top w:val="nil"/>
              <w:left w:val="nil"/>
              <w:bottom w:val="single" w:sz="8" w:space="0" w:color="000000"/>
              <w:right w:val="single" w:sz="8" w:space="0" w:color="000000"/>
            </w:tcBorders>
            <w:shd w:val="clear" w:color="auto" w:fill="auto"/>
            <w:vAlign w:val="center"/>
            <w:hideMark/>
          </w:tcPr>
          <w:p w14:paraId="344C134F"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15,918</w:t>
            </w:r>
          </w:p>
        </w:tc>
        <w:tc>
          <w:tcPr>
            <w:tcW w:w="2610" w:type="dxa"/>
            <w:tcBorders>
              <w:top w:val="nil"/>
              <w:left w:val="nil"/>
              <w:bottom w:val="single" w:sz="8" w:space="0" w:color="000000"/>
              <w:right w:val="single" w:sz="8" w:space="0" w:color="000000"/>
            </w:tcBorders>
            <w:shd w:val="clear" w:color="auto" w:fill="auto"/>
            <w:noWrap/>
            <w:vAlign w:val="center"/>
            <w:hideMark/>
          </w:tcPr>
          <w:p w14:paraId="658D91C4" w14:textId="77777777" w:rsidR="00611173" w:rsidRPr="00611173" w:rsidRDefault="00611173" w:rsidP="00611173">
            <w:pPr>
              <w:suppressAutoHyphens w:val="0"/>
              <w:autoSpaceDN/>
              <w:jc w:val="right"/>
              <w:textAlignment w:val="auto"/>
              <w:rPr>
                <w:color w:val="000000"/>
              </w:rPr>
            </w:pPr>
            <w:r w:rsidRPr="00611173">
              <w:rPr>
                <w:color w:val="000000"/>
              </w:rPr>
              <w:t>2,442</w:t>
            </w:r>
          </w:p>
        </w:tc>
      </w:tr>
      <w:tr w:rsidR="004E31E5" w:rsidRPr="004E31E5" w14:paraId="59EF1A62" w14:textId="77777777" w:rsidTr="004E31E5">
        <w:trPr>
          <w:trHeight w:val="320"/>
        </w:trPr>
        <w:tc>
          <w:tcPr>
            <w:tcW w:w="2070" w:type="dxa"/>
            <w:tcBorders>
              <w:top w:val="nil"/>
              <w:left w:val="single" w:sz="8" w:space="0" w:color="000000"/>
              <w:bottom w:val="single" w:sz="8" w:space="0" w:color="000000"/>
              <w:right w:val="single" w:sz="8" w:space="0" w:color="000000"/>
            </w:tcBorders>
            <w:shd w:val="clear" w:color="auto" w:fill="auto"/>
            <w:noWrap/>
            <w:vAlign w:val="center"/>
            <w:hideMark/>
          </w:tcPr>
          <w:p w14:paraId="31A990A5" w14:textId="77777777" w:rsidR="00611173" w:rsidRPr="00611173" w:rsidRDefault="00611173" w:rsidP="00611173">
            <w:pPr>
              <w:suppressAutoHyphens w:val="0"/>
              <w:autoSpaceDN/>
              <w:textAlignment w:val="auto"/>
              <w:rPr>
                <w:color w:val="000000"/>
                <w:sz w:val="22"/>
                <w:szCs w:val="22"/>
              </w:rPr>
            </w:pPr>
            <w:r w:rsidRPr="00611173">
              <w:rPr>
                <w:color w:val="000000"/>
                <w:sz w:val="22"/>
                <w:szCs w:val="22"/>
              </w:rPr>
              <w:t>Women Savers</w:t>
            </w:r>
          </w:p>
        </w:tc>
        <w:tc>
          <w:tcPr>
            <w:tcW w:w="1260" w:type="dxa"/>
            <w:tcBorders>
              <w:top w:val="nil"/>
              <w:left w:val="nil"/>
              <w:bottom w:val="single" w:sz="8" w:space="0" w:color="000000"/>
              <w:right w:val="single" w:sz="8" w:space="0" w:color="000000"/>
            </w:tcBorders>
            <w:shd w:val="clear" w:color="auto" w:fill="auto"/>
            <w:noWrap/>
            <w:vAlign w:val="center"/>
            <w:hideMark/>
          </w:tcPr>
          <w:p w14:paraId="511EE1AF"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13,470</w:t>
            </w:r>
          </w:p>
        </w:tc>
        <w:tc>
          <w:tcPr>
            <w:tcW w:w="900" w:type="dxa"/>
            <w:tcBorders>
              <w:top w:val="nil"/>
              <w:left w:val="nil"/>
              <w:bottom w:val="single" w:sz="8" w:space="0" w:color="000000"/>
              <w:right w:val="single" w:sz="8" w:space="0" w:color="000000"/>
            </w:tcBorders>
            <w:shd w:val="clear" w:color="auto" w:fill="auto"/>
            <w:noWrap/>
            <w:vAlign w:val="center"/>
            <w:hideMark/>
          </w:tcPr>
          <w:p w14:paraId="28C4DBF4"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13,915</w:t>
            </w:r>
          </w:p>
        </w:tc>
        <w:tc>
          <w:tcPr>
            <w:tcW w:w="900" w:type="dxa"/>
            <w:tcBorders>
              <w:top w:val="nil"/>
              <w:left w:val="nil"/>
              <w:bottom w:val="single" w:sz="8" w:space="0" w:color="000000"/>
              <w:right w:val="single" w:sz="8" w:space="0" w:color="000000"/>
            </w:tcBorders>
            <w:shd w:val="clear" w:color="auto" w:fill="auto"/>
            <w:noWrap/>
            <w:vAlign w:val="center"/>
            <w:hideMark/>
          </w:tcPr>
          <w:p w14:paraId="2336F044"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14,734</w:t>
            </w:r>
          </w:p>
        </w:tc>
        <w:tc>
          <w:tcPr>
            <w:tcW w:w="900" w:type="dxa"/>
            <w:tcBorders>
              <w:top w:val="nil"/>
              <w:left w:val="nil"/>
              <w:bottom w:val="single" w:sz="8" w:space="0" w:color="000000"/>
              <w:right w:val="single" w:sz="8" w:space="0" w:color="000000"/>
            </w:tcBorders>
            <w:shd w:val="clear" w:color="auto" w:fill="auto"/>
            <w:vAlign w:val="center"/>
            <w:hideMark/>
          </w:tcPr>
          <w:p w14:paraId="0DAC2544"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16,326</w:t>
            </w:r>
          </w:p>
        </w:tc>
        <w:tc>
          <w:tcPr>
            <w:tcW w:w="900" w:type="dxa"/>
            <w:tcBorders>
              <w:top w:val="nil"/>
              <w:left w:val="nil"/>
              <w:bottom w:val="single" w:sz="8" w:space="0" w:color="000000"/>
              <w:right w:val="single" w:sz="8" w:space="0" w:color="000000"/>
            </w:tcBorders>
            <w:shd w:val="clear" w:color="auto" w:fill="auto"/>
            <w:noWrap/>
            <w:vAlign w:val="center"/>
            <w:hideMark/>
          </w:tcPr>
          <w:p w14:paraId="201E5CE6"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14,582</w:t>
            </w:r>
          </w:p>
        </w:tc>
        <w:tc>
          <w:tcPr>
            <w:tcW w:w="1260" w:type="dxa"/>
            <w:tcBorders>
              <w:top w:val="nil"/>
              <w:left w:val="nil"/>
              <w:bottom w:val="single" w:sz="8" w:space="0" w:color="000000"/>
              <w:right w:val="single" w:sz="8" w:space="0" w:color="000000"/>
            </w:tcBorders>
            <w:shd w:val="clear" w:color="auto" w:fill="auto"/>
            <w:vAlign w:val="center"/>
            <w:hideMark/>
          </w:tcPr>
          <w:p w14:paraId="47DEAA10"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15,537</w:t>
            </w:r>
          </w:p>
        </w:tc>
        <w:tc>
          <w:tcPr>
            <w:tcW w:w="2610" w:type="dxa"/>
            <w:tcBorders>
              <w:top w:val="nil"/>
              <w:left w:val="nil"/>
              <w:bottom w:val="single" w:sz="8" w:space="0" w:color="000000"/>
              <w:right w:val="single" w:sz="8" w:space="0" w:color="000000"/>
            </w:tcBorders>
            <w:shd w:val="clear" w:color="auto" w:fill="auto"/>
            <w:noWrap/>
            <w:vAlign w:val="center"/>
            <w:hideMark/>
          </w:tcPr>
          <w:p w14:paraId="442EFEBB" w14:textId="77777777" w:rsidR="00611173" w:rsidRPr="00611173" w:rsidRDefault="00611173" w:rsidP="00611173">
            <w:pPr>
              <w:suppressAutoHyphens w:val="0"/>
              <w:autoSpaceDN/>
              <w:jc w:val="right"/>
              <w:textAlignment w:val="auto"/>
              <w:rPr>
                <w:color w:val="000000"/>
              </w:rPr>
            </w:pPr>
            <w:r w:rsidRPr="00611173">
              <w:rPr>
                <w:color w:val="000000"/>
              </w:rPr>
              <w:t>2,067</w:t>
            </w:r>
          </w:p>
        </w:tc>
      </w:tr>
      <w:tr w:rsidR="004E31E5" w:rsidRPr="004E31E5" w14:paraId="750A6C4F" w14:textId="77777777" w:rsidTr="004E31E5">
        <w:trPr>
          <w:trHeight w:val="320"/>
        </w:trPr>
        <w:tc>
          <w:tcPr>
            <w:tcW w:w="2070" w:type="dxa"/>
            <w:tcBorders>
              <w:top w:val="nil"/>
              <w:left w:val="single" w:sz="8" w:space="0" w:color="000000"/>
              <w:bottom w:val="single" w:sz="8" w:space="0" w:color="000000"/>
              <w:right w:val="single" w:sz="8" w:space="0" w:color="000000"/>
            </w:tcBorders>
            <w:shd w:val="clear" w:color="auto" w:fill="auto"/>
            <w:noWrap/>
            <w:vAlign w:val="center"/>
            <w:hideMark/>
          </w:tcPr>
          <w:p w14:paraId="44D40242" w14:textId="77777777" w:rsidR="00611173" w:rsidRPr="00611173" w:rsidRDefault="004E31E5" w:rsidP="00611173">
            <w:pPr>
              <w:suppressAutoHyphens w:val="0"/>
              <w:autoSpaceDN/>
              <w:textAlignment w:val="auto"/>
              <w:rPr>
                <w:color w:val="000000"/>
                <w:sz w:val="22"/>
                <w:szCs w:val="22"/>
              </w:rPr>
            </w:pPr>
            <w:r w:rsidRPr="004E31E5">
              <w:rPr>
                <w:color w:val="000000"/>
                <w:sz w:val="22"/>
                <w:szCs w:val="22"/>
                <w:lang w:val="en-GB"/>
              </w:rPr>
              <w:t>Asse</w:t>
            </w:r>
            <w:r w:rsidR="00611173" w:rsidRPr="00611173">
              <w:rPr>
                <w:color w:val="000000"/>
                <w:sz w:val="22"/>
                <w:szCs w:val="22"/>
                <w:lang w:val="en-GB"/>
              </w:rPr>
              <w:t>ts</w:t>
            </w:r>
          </w:p>
        </w:tc>
        <w:tc>
          <w:tcPr>
            <w:tcW w:w="1260" w:type="dxa"/>
            <w:tcBorders>
              <w:top w:val="nil"/>
              <w:left w:val="nil"/>
              <w:bottom w:val="single" w:sz="8" w:space="0" w:color="000000"/>
              <w:right w:val="single" w:sz="8" w:space="0" w:color="000000"/>
            </w:tcBorders>
            <w:shd w:val="clear" w:color="auto" w:fill="auto"/>
            <w:noWrap/>
            <w:vAlign w:val="center"/>
            <w:hideMark/>
          </w:tcPr>
          <w:p w14:paraId="146783F5"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4,456,803</w:t>
            </w:r>
          </w:p>
        </w:tc>
        <w:tc>
          <w:tcPr>
            <w:tcW w:w="900" w:type="dxa"/>
            <w:tcBorders>
              <w:top w:val="nil"/>
              <w:left w:val="nil"/>
              <w:bottom w:val="single" w:sz="8" w:space="0" w:color="000000"/>
              <w:right w:val="single" w:sz="8" w:space="0" w:color="000000"/>
            </w:tcBorders>
            <w:shd w:val="clear" w:color="auto" w:fill="D9D9D9" w:themeFill="background1" w:themeFillShade="D9"/>
            <w:noWrap/>
            <w:vAlign w:val="center"/>
            <w:hideMark/>
          </w:tcPr>
          <w:p w14:paraId="623E09A5"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 </w:t>
            </w:r>
          </w:p>
        </w:tc>
        <w:tc>
          <w:tcPr>
            <w:tcW w:w="900" w:type="dxa"/>
            <w:tcBorders>
              <w:top w:val="nil"/>
              <w:left w:val="nil"/>
              <w:bottom w:val="single" w:sz="8" w:space="0" w:color="000000"/>
              <w:right w:val="single" w:sz="8" w:space="0" w:color="000000"/>
            </w:tcBorders>
            <w:shd w:val="clear" w:color="auto" w:fill="D9D9D9" w:themeFill="background1" w:themeFillShade="D9"/>
            <w:noWrap/>
            <w:vAlign w:val="center"/>
            <w:hideMark/>
          </w:tcPr>
          <w:p w14:paraId="0104EF43"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 </w:t>
            </w:r>
          </w:p>
        </w:tc>
        <w:tc>
          <w:tcPr>
            <w:tcW w:w="900" w:type="dxa"/>
            <w:tcBorders>
              <w:top w:val="nil"/>
              <w:left w:val="nil"/>
              <w:bottom w:val="single" w:sz="8" w:space="0" w:color="000000"/>
              <w:right w:val="single" w:sz="8" w:space="0" w:color="000000"/>
            </w:tcBorders>
            <w:shd w:val="clear" w:color="auto" w:fill="D9D9D9" w:themeFill="background1" w:themeFillShade="D9"/>
            <w:vAlign w:val="center"/>
            <w:hideMark/>
          </w:tcPr>
          <w:p w14:paraId="355B9B88"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 </w:t>
            </w:r>
          </w:p>
        </w:tc>
        <w:tc>
          <w:tcPr>
            <w:tcW w:w="900" w:type="dxa"/>
            <w:tcBorders>
              <w:top w:val="nil"/>
              <w:left w:val="nil"/>
              <w:bottom w:val="single" w:sz="8" w:space="0" w:color="000000"/>
              <w:right w:val="single" w:sz="8" w:space="0" w:color="000000"/>
            </w:tcBorders>
            <w:shd w:val="clear" w:color="auto" w:fill="D9D9D9" w:themeFill="background1" w:themeFillShade="D9"/>
            <w:noWrap/>
            <w:vAlign w:val="center"/>
            <w:hideMark/>
          </w:tcPr>
          <w:p w14:paraId="166A811C"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 </w:t>
            </w:r>
          </w:p>
        </w:tc>
        <w:tc>
          <w:tcPr>
            <w:tcW w:w="1260" w:type="dxa"/>
            <w:tcBorders>
              <w:top w:val="nil"/>
              <w:left w:val="nil"/>
              <w:bottom w:val="single" w:sz="8" w:space="0" w:color="000000"/>
              <w:right w:val="single" w:sz="8" w:space="0" w:color="000000"/>
            </w:tcBorders>
            <w:shd w:val="clear" w:color="auto" w:fill="auto"/>
            <w:vAlign w:val="center"/>
            <w:hideMark/>
          </w:tcPr>
          <w:p w14:paraId="0EE7BFD7"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11,522,941</w:t>
            </w:r>
          </w:p>
        </w:tc>
        <w:tc>
          <w:tcPr>
            <w:tcW w:w="2610" w:type="dxa"/>
            <w:tcBorders>
              <w:top w:val="nil"/>
              <w:left w:val="nil"/>
              <w:bottom w:val="single" w:sz="8" w:space="0" w:color="000000"/>
              <w:right w:val="single" w:sz="8" w:space="0" w:color="000000"/>
            </w:tcBorders>
            <w:shd w:val="clear" w:color="auto" w:fill="auto"/>
            <w:noWrap/>
            <w:vAlign w:val="center"/>
            <w:hideMark/>
          </w:tcPr>
          <w:p w14:paraId="6BB760D3" w14:textId="77777777" w:rsidR="00611173" w:rsidRPr="00611173" w:rsidRDefault="00611173" w:rsidP="00611173">
            <w:pPr>
              <w:suppressAutoHyphens w:val="0"/>
              <w:autoSpaceDN/>
              <w:jc w:val="right"/>
              <w:textAlignment w:val="auto"/>
              <w:rPr>
                <w:color w:val="000000"/>
              </w:rPr>
            </w:pPr>
            <w:r w:rsidRPr="00611173">
              <w:rPr>
                <w:color w:val="000000"/>
              </w:rPr>
              <w:t>7,066,138</w:t>
            </w:r>
          </w:p>
        </w:tc>
      </w:tr>
      <w:tr w:rsidR="004E31E5" w:rsidRPr="004E31E5" w14:paraId="60646556" w14:textId="77777777" w:rsidTr="004E31E5">
        <w:trPr>
          <w:trHeight w:val="570"/>
        </w:trPr>
        <w:tc>
          <w:tcPr>
            <w:tcW w:w="2070" w:type="dxa"/>
            <w:tcBorders>
              <w:top w:val="nil"/>
              <w:left w:val="single" w:sz="8" w:space="0" w:color="000000"/>
              <w:bottom w:val="single" w:sz="8" w:space="0" w:color="000000"/>
              <w:right w:val="single" w:sz="8" w:space="0" w:color="000000"/>
            </w:tcBorders>
            <w:shd w:val="clear" w:color="auto" w:fill="auto"/>
            <w:vAlign w:val="center"/>
            <w:hideMark/>
          </w:tcPr>
          <w:p w14:paraId="2BE9F947" w14:textId="77777777" w:rsidR="00611173" w:rsidRPr="00611173" w:rsidRDefault="00611173" w:rsidP="00611173">
            <w:pPr>
              <w:suppressAutoHyphens w:val="0"/>
              <w:autoSpaceDN/>
              <w:textAlignment w:val="auto"/>
              <w:rPr>
                <w:color w:val="000000"/>
                <w:sz w:val="22"/>
                <w:szCs w:val="22"/>
              </w:rPr>
            </w:pPr>
            <w:r w:rsidRPr="00611173">
              <w:rPr>
                <w:color w:val="000000"/>
                <w:sz w:val="22"/>
                <w:szCs w:val="22"/>
              </w:rPr>
              <w:t>Outstanding Loan Portfolio</w:t>
            </w:r>
          </w:p>
        </w:tc>
        <w:tc>
          <w:tcPr>
            <w:tcW w:w="1260" w:type="dxa"/>
            <w:tcBorders>
              <w:top w:val="nil"/>
              <w:left w:val="nil"/>
              <w:bottom w:val="single" w:sz="8" w:space="0" w:color="000000"/>
              <w:right w:val="single" w:sz="8" w:space="0" w:color="000000"/>
            </w:tcBorders>
            <w:shd w:val="clear" w:color="auto" w:fill="auto"/>
            <w:noWrap/>
            <w:vAlign w:val="center"/>
            <w:hideMark/>
          </w:tcPr>
          <w:p w14:paraId="4A0CE5E5"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3,311,599</w:t>
            </w:r>
          </w:p>
        </w:tc>
        <w:tc>
          <w:tcPr>
            <w:tcW w:w="900" w:type="dxa"/>
            <w:tcBorders>
              <w:top w:val="nil"/>
              <w:left w:val="nil"/>
              <w:bottom w:val="single" w:sz="8" w:space="0" w:color="000000"/>
              <w:right w:val="single" w:sz="8" w:space="0" w:color="000000"/>
            </w:tcBorders>
            <w:shd w:val="clear" w:color="auto" w:fill="D9D9D9" w:themeFill="background1" w:themeFillShade="D9"/>
            <w:noWrap/>
            <w:vAlign w:val="center"/>
            <w:hideMark/>
          </w:tcPr>
          <w:p w14:paraId="6BDC5882"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 </w:t>
            </w:r>
          </w:p>
        </w:tc>
        <w:tc>
          <w:tcPr>
            <w:tcW w:w="900" w:type="dxa"/>
            <w:tcBorders>
              <w:top w:val="nil"/>
              <w:left w:val="nil"/>
              <w:bottom w:val="single" w:sz="8" w:space="0" w:color="000000"/>
              <w:right w:val="single" w:sz="8" w:space="0" w:color="000000"/>
            </w:tcBorders>
            <w:shd w:val="clear" w:color="auto" w:fill="D9D9D9" w:themeFill="background1" w:themeFillShade="D9"/>
            <w:noWrap/>
            <w:vAlign w:val="center"/>
            <w:hideMark/>
          </w:tcPr>
          <w:p w14:paraId="7F3C56A7"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 </w:t>
            </w:r>
          </w:p>
        </w:tc>
        <w:tc>
          <w:tcPr>
            <w:tcW w:w="900" w:type="dxa"/>
            <w:tcBorders>
              <w:top w:val="nil"/>
              <w:left w:val="nil"/>
              <w:bottom w:val="single" w:sz="8" w:space="0" w:color="000000"/>
              <w:right w:val="single" w:sz="8" w:space="0" w:color="000000"/>
            </w:tcBorders>
            <w:shd w:val="clear" w:color="auto" w:fill="D9D9D9" w:themeFill="background1" w:themeFillShade="D9"/>
            <w:vAlign w:val="center"/>
            <w:hideMark/>
          </w:tcPr>
          <w:p w14:paraId="48D5465E"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 </w:t>
            </w:r>
          </w:p>
        </w:tc>
        <w:tc>
          <w:tcPr>
            <w:tcW w:w="900" w:type="dxa"/>
            <w:tcBorders>
              <w:top w:val="nil"/>
              <w:left w:val="nil"/>
              <w:bottom w:val="single" w:sz="8" w:space="0" w:color="000000"/>
              <w:right w:val="single" w:sz="8" w:space="0" w:color="000000"/>
            </w:tcBorders>
            <w:shd w:val="clear" w:color="auto" w:fill="D9D9D9" w:themeFill="background1" w:themeFillShade="D9"/>
            <w:noWrap/>
            <w:vAlign w:val="center"/>
            <w:hideMark/>
          </w:tcPr>
          <w:p w14:paraId="38F96E2C"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 </w:t>
            </w:r>
          </w:p>
        </w:tc>
        <w:tc>
          <w:tcPr>
            <w:tcW w:w="1260" w:type="dxa"/>
            <w:tcBorders>
              <w:top w:val="nil"/>
              <w:left w:val="nil"/>
              <w:bottom w:val="single" w:sz="8" w:space="0" w:color="000000"/>
              <w:right w:val="single" w:sz="8" w:space="0" w:color="000000"/>
            </w:tcBorders>
            <w:shd w:val="clear" w:color="auto" w:fill="auto"/>
            <w:vAlign w:val="center"/>
            <w:hideMark/>
          </w:tcPr>
          <w:p w14:paraId="540468A6"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8,015,193</w:t>
            </w:r>
          </w:p>
        </w:tc>
        <w:tc>
          <w:tcPr>
            <w:tcW w:w="2610" w:type="dxa"/>
            <w:tcBorders>
              <w:top w:val="nil"/>
              <w:left w:val="nil"/>
              <w:bottom w:val="single" w:sz="8" w:space="0" w:color="000000"/>
              <w:right w:val="single" w:sz="8" w:space="0" w:color="000000"/>
            </w:tcBorders>
            <w:shd w:val="clear" w:color="auto" w:fill="auto"/>
            <w:noWrap/>
            <w:vAlign w:val="center"/>
            <w:hideMark/>
          </w:tcPr>
          <w:p w14:paraId="482F79E7" w14:textId="77777777" w:rsidR="00611173" w:rsidRPr="00611173" w:rsidRDefault="00611173" w:rsidP="00611173">
            <w:pPr>
              <w:suppressAutoHyphens w:val="0"/>
              <w:autoSpaceDN/>
              <w:jc w:val="right"/>
              <w:textAlignment w:val="auto"/>
              <w:rPr>
                <w:color w:val="000000"/>
              </w:rPr>
            </w:pPr>
            <w:r w:rsidRPr="00611173">
              <w:rPr>
                <w:color w:val="000000"/>
              </w:rPr>
              <w:t>4,703,594</w:t>
            </w:r>
          </w:p>
        </w:tc>
      </w:tr>
      <w:tr w:rsidR="004E31E5" w:rsidRPr="004E31E5" w14:paraId="39F6CF3E" w14:textId="77777777" w:rsidTr="004E31E5">
        <w:trPr>
          <w:trHeight w:val="320"/>
        </w:trPr>
        <w:tc>
          <w:tcPr>
            <w:tcW w:w="2070" w:type="dxa"/>
            <w:tcBorders>
              <w:top w:val="nil"/>
              <w:left w:val="single" w:sz="8" w:space="0" w:color="000000"/>
              <w:bottom w:val="single" w:sz="8" w:space="0" w:color="000000"/>
              <w:right w:val="single" w:sz="8" w:space="0" w:color="000000"/>
            </w:tcBorders>
            <w:shd w:val="clear" w:color="auto" w:fill="auto"/>
            <w:noWrap/>
            <w:vAlign w:val="center"/>
            <w:hideMark/>
          </w:tcPr>
          <w:p w14:paraId="06908CF5" w14:textId="77777777" w:rsidR="00611173" w:rsidRPr="00611173" w:rsidRDefault="00611173" w:rsidP="00611173">
            <w:pPr>
              <w:suppressAutoHyphens w:val="0"/>
              <w:autoSpaceDN/>
              <w:textAlignment w:val="auto"/>
              <w:rPr>
                <w:color w:val="000000"/>
                <w:sz w:val="22"/>
                <w:szCs w:val="22"/>
              </w:rPr>
            </w:pPr>
            <w:r w:rsidRPr="00611173">
              <w:rPr>
                <w:color w:val="000000"/>
                <w:sz w:val="22"/>
                <w:szCs w:val="22"/>
              </w:rPr>
              <w:t>Deposits</w:t>
            </w:r>
          </w:p>
        </w:tc>
        <w:tc>
          <w:tcPr>
            <w:tcW w:w="1260" w:type="dxa"/>
            <w:tcBorders>
              <w:top w:val="nil"/>
              <w:left w:val="nil"/>
              <w:bottom w:val="single" w:sz="8" w:space="0" w:color="000000"/>
              <w:right w:val="single" w:sz="8" w:space="0" w:color="000000"/>
            </w:tcBorders>
            <w:shd w:val="clear" w:color="auto" w:fill="auto"/>
            <w:noWrap/>
            <w:vAlign w:val="center"/>
            <w:hideMark/>
          </w:tcPr>
          <w:p w14:paraId="727C3804"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1,336,190</w:t>
            </w:r>
          </w:p>
        </w:tc>
        <w:tc>
          <w:tcPr>
            <w:tcW w:w="900" w:type="dxa"/>
            <w:tcBorders>
              <w:top w:val="nil"/>
              <w:left w:val="nil"/>
              <w:bottom w:val="single" w:sz="8" w:space="0" w:color="000000"/>
              <w:right w:val="single" w:sz="8" w:space="0" w:color="000000"/>
            </w:tcBorders>
            <w:shd w:val="clear" w:color="auto" w:fill="D9D9D9" w:themeFill="background1" w:themeFillShade="D9"/>
            <w:noWrap/>
            <w:vAlign w:val="center"/>
            <w:hideMark/>
          </w:tcPr>
          <w:p w14:paraId="227DE751"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 </w:t>
            </w:r>
          </w:p>
        </w:tc>
        <w:tc>
          <w:tcPr>
            <w:tcW w:w="900" w:type="dxa"/>
            <w:tcBorders>
              <w:top w:val="nil"/>
              <w:left w:val="nil"/>
              <w:bottom w:val="single" w:sz="8" w:space="0" w:color="000000"/>
              <w:right w:val="single" w:sz="8" w:space="0" w:color="000000"/>
            </w:tcBorders>
            <w:shd w:val="clear" w:color="auto" w:fill="D9D9D9" w:themeFill="background1" w:themeFillShade="D9"/>
            <w:noWrap/>
            <w:vAlign w:val="center"/>
            <w:hideMark/>
          </w:tcPr>
          <w:p w14:paraId="531FDDA0"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 </w:t>
            </w:r>
          </w:p>
        </w:tc>
        <w:tc>
          <w:tcPr>
            <w:tcW w:w="900" w:type="dxa"/>
            <w:tcBorders>
              <w:top w:val="nil"/>
              <w:left w:val="nil"/>
              <w:bottom w:val="single" w:sz="8" w:space="0" w:color="000000"/>
              <w:right w:val="single" w:sz="8" w:space="0" w:color="000000"/>
            </w:tcBorders>
            <w:shd w:val="clear" w:color="auto" w:fill="D9D9D9" w:themeFill="background1" w:themeFillShade="D9"/>
            <w:vAlign w:val="center"/>
            <w:hideMark/>
          </w:tcPr>
          <w:p w14:paraId="08861CBE"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 </w:t>
            </w:r>
          </w:p>
        </w:tc>
        <w:tc>
          <w:tcPr>
            <w:tcW w:w="900" w:type="dxa"/>
            <w:tcBorders>
              <w:top w:val="nil"/>
              <w:left w:val="nil"/>
              <w:bottom w:val="single" w:sz="8" w:space="0" w:color="000000"/>
              <w:right w:val="single" w:sz="8" w:space="0" w:color="000000"/>
            </w:tcBorders>
            <w:shd w:val="clear" w:color="auto" w:fill="D9D9D9" w:themeFill="background1" w:themeFillShade="D9"/>
            <w:noWrap/>
            <w:vAlign w:val="center"/>
            <w:hideMark/>
          </w:tcPr>
          <w:p w14:paraId="1C0961CB"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 </w:t>
            </w:r>
          </w:p>
        </w:tc>
        <w:tc>
          <w:tcPr>
            <w:tcW w:w="1260" w:type="dxa"/>
            <w:tcBorders>
              <w:top w:val="nil"/>
              <w:left w:val="nil"/>
              <w:bottom w:val="single" w:sz="8" w:space="0" w:color="000000"/>
              <w:right w:val="single" w:sz="8" w:space="0" w:color="000000"/>
            </w:tcBorders>
            <w:shd w:val="clear" w:color="auto" w:fill="auto"/>
            <w:vAlign w:val="center"/>
            <w:hideMark/>
          </w:tcPr>
          <w:p w14:paraId="2EF96823"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3,586,157</w:t>
            </w:r>
          </w:p>
        </w:tc>
        <w:tc>
          <w:tcPr>
            <w:tcW w:w="2610" w:type="dxa"/>
            <w:tcBorders>
              <w:top w:val="nil"/>
              <w:left w:val="nil"/>
              <w:bottom w:val="single" w:sz="8" w:space="0" w:color="000000"/>
              <w:right w:val="single" w:sz="8" w:space="0" w:color="000000"/>
            </w:tcBorders>
            <w:shd w:val="clear" w:color="auto" w:fill="auto"/>
            <w:noWrap/>
            <w:vAlign w:val="center"/>
            <w:hideMark/>
          </w:tcPr>
          <w:p w14:paraId="311CD3D1" w14:textId="77777777" w:rsidR="00611173" w:rsidRPr="00611173" w:rsidRDefault="00611173" w:rsidP="00611173">
            <w:pPr>
              <w:suppressAutoHyphens w:val="0"/>
              <w:autoSpaceDN/>
              <w:jc w:val="right"/>
              <w:textAlignment w:val="auto"/>
              <w:rPr>
                <w:color w:val="000000"/>
              </w:rPr>
            </w:pPr>
            <w:r w:rsidRPr="00611173">
              <w:rPr>
                <w:color w:val="000000"/>
              </w:rPr>
              <w:t>2,249,967</w:t>
            </w:r>
          </w:p>
        </w:tc>
      </w:tr>
      <w:tr w:rsidR="004E31E5" w:rsidRPr="004E31E5" w14:paraId="38DBF3E8" w14:textId="77777777" w:rsidTr="004E31E5">
        <w:trPr>
          <w:trHeight w:val="320"/>
        </w:trPr>
        <w:tc>
          <w:tcPr>
            <w:tcW w:w="2070" w:type="dxa"/>
            <w:tcBorders>
              <w:top w:val="nil"/>
              <w:left w:val="single" w:sz="8" w:space="0" w:color="000000"/>
              <w:bottom w:val="single" w:sz="8" w:space="0" w:color="000000"/>
              <w:right w:val="single" w:sz="8" w:space="0" w:color="000000"/>
            </w:tcBorders>
            <w:shd w:val="clear" w:color="auto" w:fill="auto"/>
            <w:noWrap/>
            <w:vAlign w:val="center"/>
            <w:hideMark/>
          </w:tcPr>
          <w:p w14:paraId="4C7960F4" w14:textId="77777777" w:rsidR="00611173" w:rsidRPr="00611173" w:rsidRDefault="00611173" w:rsidP="00611173">
            <w:pPr>
              <w:suppressAutoHyphens w:val="0"/>
              <w:autoSpaceDN/>
              <w:textAlignment w:val="auto"/>
              <w:rPr>
                <w:color w:val="000000"/>
                <w:sz w:val="22"/>
                <w:szCs w:val="22"/>
              </w:rPr>
            </w:pPr>
            <w:r w:rsidRPr="00611173">
              <w:rPr>
                <w:color w:val="000000"/>
                <w:sz w:val="22"/>
                <w:szCs w:val="22"/>
              </w:rPr>
              <w:t>PAR30 (%)</w:t>
            </w:r>
          </w:p>
        </w:tc>
        <w:tc>
          <w:tcPr>
            <w:tcW w:w="1260" w:type="dxa"/>
            <w:tcBorders>
              <w:top w:val="nil"/>
              <w:left w:val="nil"/>
              <w:bottom w:val="single" w:sz="8" w:space="0" w:color="000000"/>
              <w:right w:val="single" w:sz="8" w:space="0" w:color="000000"/>
            </w:tcBorders>
            <w:shd w:val="clear" w:color="auto" w:fill="auto"/>
            <w:noWrap/>
            <w:vAlign w:val="center"/>
            <w:hideMark/>
          </w:tcPr>
          <w:p w14:paraId="67894BE7"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9.1%</w:t>
            </w:r>
          </w:p>
        </w:tc>
        <w:tc>
          <w:tcPr>
            <w:tcW w:w="900" w:type="dxa"/>
            <w:tcBorders>
              <w:top w:val="nil"/>
              <w:left w:val="nil"/>
              <w:bottom w:val="single" w:sz="8" w:space="0" w:color="000000"/>
              <w:right w:val="single" w:sz="8" w:space="0" w:color="000000"/>
            </w:tcBorders>
            <w:shd w:val="clear" w:color="auto" w:fill="D9D9D9" w:themeFill="background1" w:themeFillShade="D9"/>
            <w:noWrap/>
            <w:vAlign w:val="center"/>
            <w:hideMark/>
          </w:tcPr>
          <w:p w14:paraId="1931BFE7"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 </w:t>
            </w:r>
          </w:p>
        </w:tc>
        <w:tc>
          <w:tcPr>
            <w:tcW w:w="900" w:type="dxa"/>
            <w:tcBorders>
              <w:top w:val="nil"/>
              <w:left w:val="nil"/>
              <w:bottom w:val="single" w:sz="8" w:space="0" w:color="000000"/>
              <w:right w:val="single" w:sz="8" w:space="0" w:color="000000"/>
            </w:tcBorders>
            <w:shd w:val="clear" w:color="auto" w:fill="D9D9D9" w:themeFill="background1" w:themeFillShade="D9"/>
            <w:noWrap/>
            <w:vAlign w:val="center"/>
            <w:hideMark/>
          </w:tcPr>
          <w:p w14:paraId="249BB25F"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 </w:t>
            </w:r>
          </w:p>
        </w:tc>
        <w:tc>
          <w:tcPr>
            <w:tcW w:w="900" w:type="dxa"/>
            <w:tcBorders>
              <w:top w:val="nil"/>
              <w:left w:val="nil"/>
              <w:bottom w:val="single" w:sz="8" w:space="0" w:color="000000"/>
              <w:right w:val="single" w:sz="8" w:space="0" w:color="000000"/>
            </w:tcBorders>
            <w:shd w:val="clear" w:color="auto" w:fill="D9D9D9" w:themeFill="background1" w:themeFillShade="D9"/>
            <w:vAlign w:val="center"/>
            <w:hideMark/>
          </w:tcPr>
          <w:p w14:paraId="0416BBDC"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 </w:t>
            </w:r>
          </w:p>
        </w:tc>
        <w:tc>
          <w:tcPr>
            <w:tcW w:w="900" w:type="dxa"/>
            <w:tcBorders>
              <w:top w:val="nil"/>
              <w:left w:val="nil"/>
              <w:bottom w:val="single" w:sz="8" w:space="0" w:color="000000"/>
              <w:right w:val="single" w:sz="8" w:space="0" w:color="000000"/>
            </w:tcBorders>
            <w:shd w:val="clear" w:color="auto" w:fill="D9D9D9" w:themeFill="background1" w:themeFillShade="D9"/>
            <w:noWrap/>
            <w:vAlign w:val="center"/>
            <w:hideMark/>
          </w:tcPr>
          <w:p w14:paraId="77319620"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 </w:t>
            </w:r>
          </w:p>
        </w:tc>
        <w:tc>
          <w:tcPr>
            <w:tcW w:w="1260" w:type="dxa"/>
            <w:tcBorders>
              <w:top w:val="nil"/>
              <w:left w:val="nil"/>
              <w:bottom w:val="single" w:sz="8" w:space="0" w:color="000000"/>
              <w:right w:val="single" w:sz="8" w:space="0" w:color="000000"/>
            </w:tcBorders>
            <w:shd w:val="clear" w:color="auto" w:fill="auto"/>
            <w:vAlign w:val="center"/>
            <w:hideMark/>
          </w:tcPr>
          <w:p w14:paraId="44593419" w14:textId="77777777" w:rsidR="00611173" w:rsidRPr="00611173" w:rsidRDefault="00EC7869" w:rsidP="00611173">
            <w:pPr>
              <w:suppressAutoHyphens w:val="0"/>
              <w:autoSpaceDN/>
              <w:jc w:val="right"/>
              <w:textAlignment w:val="auto"/>
              <w:rPr>
                <w:color w:val="000000"/>
                <w:sz w:val="22"/>
                <w:szCs w:val="22"/>
              </w:rPr>
            </w:pPr>
            <w:r>
              <w:rPr>
                <w:color w:val="000000"/>
                <w:sz w:val="22"/>
                <w:szCs w:val="22"/>
              </w:rPr>
              <w:t>3.7</w:t>
            </w:r>
            <w:r w:rsidR="00611173" w:rsidRPr="00611173">
              <w:rPr>
                <w:color w:val="000000"/>
                <w:sz w:val="22"/>
                <w:szCs w:val="22"/>
              </w:rPr>
              <w:t>%</w:t>
            </w:r>
          </w:p>
        </w:tc>
        <w:tc>
          <w:tcPr>
            <w:tcW w:w="2610" w:type="dxa"/>
            <w:tcBorders>
              <w:top w:val="nil"/>
              <w:left w:val="nil"/>
              <w:bottom w:val="single" w:sz="8" w:space="0" w:color="000000"/>
              <w:right w:val="single" w:sz="8" w:space="0" w:color="000000"/>
            </w:tcBorders>
            <w:shd w:val="clear" w:color="auto" w:fill="auto"/>
            <w:noWrap/>
            <w:vAlign w:val="center"/>
            <w:hideMark/>
          </w:tcPr>
          <w:p w14:paraId="2D308145" w14:textId="77777777" w:rsidR="00611173" w:rsidRPr="00611173" w:rsidRDefault="00611173" w:rsidP="00611173">
            <w:pPr>
              <w:suppressAutoHyphens w:val="0"/>
              <w:autoSpaceDN/>
              <w:jc w:val="right"/>
              <w:textAlignment w:val="auto"/>
              <w:rPr>
                <w:color w:val="000000"/>
              </w:rPr>
            </w:pPr>
            <w:r w:rsidRPr="00611173">
              <w:rPr>
                <w:color w:val="000000"/>
              </w:rPr>
              <w:t>-6.2%</w:t>
            </w:r>
          </w:p>
        </w:tc>
      </w:tr>
    </w:tbl>
    <w:p w14:paraId="6928DBD4" w14:textId="77777777" w:rsidR="00706241" w:rsidRPr="004E31E5" w:rsidRDefault="00706241" w:rsidP="00706241">
      <w:pPr>
        <w:pStyle w:val="Default"/>
        <w:jc w:val="both"/>
        <w:rPr>
          <w:rFonts w:ascii="Times New Roman" w:hAnsi="Times New Roman" w:cs="Times New Roman"/>
          <w:bCs/>
          <w:color w:val="auto"/>
          <w:lang w:val="en-GB" w:eastAsia="ja-JP"/>
        </w:rPr>
      </w:pPr>
    </w:p>
    <w:p w14:paraId="5F8637F8" w14:textId="77777777" w:rsidR="00706241" w:rsidRPr="004E31E5" w:rsidRDefault="00706241" w:rsidP="00706241">
      <w:pPr>
        <w:tabs>
          <w:tab w:val="left" w:pos="426"/>
        </w:tabs>
        <w:jc w:val="both"/>
      </w:pPr>
      <w:r w:rsidRPr="004E31E5">
        <w:t xml:space="preserve">The project document requires that 50% of the clients served by grantees be women.  As of </w:t>
      </w:r>
      <w:r w:rsidR="004E31E5" w:rsidRPr="004E31E5">
        <w:t>December 2014</w:t>
      </w:r>
      <w:r w:rsidRPr="004E31E5">
        <w:t xml:space="preserve">, </w:t>
      </w:r>
      <w:r w:rsidR="004E31E5" w:rsidRPr="004E31E5">
        <w:t>women comprised approximately 98</w:t>
      </w:r>
      <w:r w:rsidRPr="004E31E5">
        <w:t xml:space="preserve">% of borrowers and </w:t>
      </w:r>
      <w:r w:rsidR="004E31E5" w:rsidRPr="004E31E5">
        <w:t>98%</w:t>
      </w:r>
      <w:r w:rsidRPr="004E31E5">
        <w:t xml:space="preserve"> of savers at the 2 MFIs supported by INFUSE.  In addition, b</w:t>
      </w:r>
      <w:r w:rsidRPr="004E31E5">
        <w:rPr>
          <w:lang w:eastAsia="ja-JP"/>
        </w:rPr>
        <w:t>oth MR and TRM were op</w:t>
      </w:r>
      <w:r w:rsidR="004E31E5" w:rsidRPr="004E31E5">
        <w:rPr>
          <w:lang w:eastAsia="ja-JP"/>
        </w:rPr>
        <w:t>erationally self-sufficient for 2014</w:t>
      </w:r>
      <w:r w:rsidRPr="004E31E5">
        <w:rPr>
          <w:lang w:eastAsia="ja-JP"/>
        </w:rPr>
        <w:t>. Both institutions met their performance targets with a portfolio at risk below 5%: TRM has a PAR</w:t>
      </w:r>
      <w:r w:rsidRPr="004E31E5">
        <w:rPr>
          <w:vertAlign w:val="subscript"/>
          <w:lang w:eastAsia="ja-JP"/>
        </w:rPr>
        <w:t>30</w:t>
      </w:r>
      <w:r w:rsidR="00EC7869">
        <w:rPr>
          <w:lang w:eastAsia="ja-JP"/>
        </w:rPr>
        <w:t xml:space="preserve"> ratio of  2.88%</w:t>
      </w:r>
      <w:r w:rsidR="004E31E5" w:rsidRPr="004E31E5">
        <w:rPr>
          <w:lang w:eastAsia="ja-JP"/>
        </w:rPr>
        <w:t xml:space="preserve"> </w:t>
      </w:r>
      <w:r w:rsidRPr="004E31E5">
        <w:rPr>
          <w:lang w:eastAsia="ja-JP"/>
        </w:rPr>
        <w:t xml:space="preserve">while MR </w:t>
      </w:r>
      <w:r w:rsidR="004E31E5" w:rsidRPr="004E31E5">
        <w:rPr>
          <w:lang w:eastAsia="ja-JP"/>
        </w:rPr>
        <w:t>maintained a ratio of 4.44</w:t>
      </w:r>
      <w:r w:rsidRPr="004E31E5">
        <w:rPr>
          <w:lang w:eastAsia="ja-JP"/>
        </w:rPr>
        <w:t xml:space="preserve">%. </w:t>
      </w:r>
      <w:r w:rsidR="004E31E5" w:rsidRPr="004E31E5">
        <w:rPr>
          <w:lang w:eastAsia="ja-JP"/>
        </w:rPr>
        <w:t xml:space="preserve">Note, while client growth has not increased over the period significantly, the outstanding loans and deposits have grown dramatically, as have institutional assets. </w:t>
      </w:r>
    </w:p>
    <w:p w14:paraId="3B1E0AC6" w14:textId="77777777" w:rsidR="00706241" w:rsidRPr="004E31E5" w:rsidRDefault="00706241" w:rsidP="00706241">
      <w:pPr>
        <w:tabs>
          <w:tab w:val="left" w:pos="426"/>
        </w:tabs>
        <w:jc w:val="both"/>
        <w:rPr>
          <w:lang w:eastAsia="ja-JP"/>
        </w:rPr>
      </w:pPr>
    </w:p>
    <w:p w14:paraId="0A901411" w14:textId="77777777" w:rsidR="001D590E" w:rsidRDefault="004E31E5" w:rsidP="00706241">
      <w:pPr>
        <w:tabs>
          <w:tab w:val="left" w:pos="426"/>
        </w:tabs>
        <w:jc w:val="both"/>
        <w:rPr>
          <w:lang w:eastAsia="ja-JP"/>
        </w:rPr>
      </w:pPr>
      <w:r w:rsidRPr="004E31E5">
        <w:rPr>
          <w:lang w:eastAsia="ja-JP"/>
        </w:rPr>
        <w:t>Both institutions are continuing to implement institutional structural changes needed to comply with Other Deposit Taking Institution licensing requirements, which have hampered their ability to grow in client numbers.</w:t>
      </w:r>
      <w:r>
        <w:rPr>
          <w:lang w:eastAsia="ja-JP"/>
        </w:rPr>
        <w:t xml:space="preserve">  </w:t>
      </w:r>
    </w:p>
    <w:p w14:paraId="545E8440" w14:textId="77777777" w:rsidR="00706241" w:rsidRDefault="00706241" w:rsidP="00706241">
      <w:pPr>
        <w:tabs>
          <w:tab w:val="left" w:pos="426"/>
        </w:tabs>
        <w:jc w:val="both"/>
      </w:pPr>
    </w:p>
    <w:p w14:paraId="49046E4E" w14:textId="77777777" w:rsidR="001D590E" w:rsidRDefault="001D590E" w:rsidP="001D590E">
      <w:pPr>
        <w:pBdr>
          <w:top w:val="single" w:sz="4" w:space="0" w:color="000000"/>
          <w:left w:val="single" w:sz="4" w:space="0" w:color="000000"/>
          <w:bottom w:val="single" w:sz="4" w:space="0" w:color="000000"/>
          <w:right w:val="single" w:sz="4" w:space="0" w:color="000000"/>
        </w:pBdr>
        <w:shd w:val="clear" w:color="auto" w:fill="CCCCCC"/>
        <w:jc w:val="both"/>
        <w:rPr>
          <w:b/>
          <w:lang w:eastAsia="ja-JP"/>
        </w:rPr>
      </w:pPr>
      <w:r w:rsidRPr="00A22AD4">
        <w:rPr>
          <w:b/>
          <w:lang w:eastAsia="ja-JP"/>
        </w:rPr>
        <w:t xml:space="preserve">OUTPUT </w:t>
      </w:r>
      <w:r>
        <w:rPr>
          <w:b/>
          <w:lang w:eastAsia="ja-JP"/>
        </w:rPr>
        <w:t>3</w:t>
      </w:r>
      <w:r w:rsidRPr="00A22AD4">
        <w:rPr>
          <w:b/>
          <w:lang w:eastAsia="ja-JP"/>
        </w:rPr>
        <w:t xml:space="preserve">: </w:t>
      </w:r>
      <w:r>
        <w:rPr>
          <w:b/>
          <w:lang w:val="en-GB"/>
        </w:rPr>
        <w:t>PROMOTING A BUSINESS SERVICES INFRASTRUCTURE</w:t>
      </w:r>
    </w:p>
    <w:p w14:paraId="4A08851F" w14:textId="77777777" w:rsidR="00706241" w:rsidRDefault="00706241" w:rsidP="00706241">
      <w:pPr>
        <w:tabs>
          <w:tab w:val="left" w:pos="426"/>
        </w:tabs>
        <w:jc w:val="both"/>
        <w:rPr>
          <w:lang w:eastAsia="ja-JP"/>
        </w:rPr>
      </w:pPr>
    </w:p>
    <w:p w14:paraId="43E7C77C" w14:textId="77777777" w:rsidR="00706241" w:rsidRDefault="00706241" w:rsidP="00706241">
      <w:pPr>
        <w:pBdr>
          <w:top w:val="single" w:sz="4" w:space="0" w:color="000000"/>
          <w:left w:val="single" w:sz="4" w:space="0" w:color="000000"/>
          <w:bottom w:val="single" w:sz="4" w:space="0" w:color="000000"/>
          <w:right w:val="single" w:sz="4" w:space="0" w:color="000000"/>
        </w:pBdr>
        <w:shd w:val="clear" w:color="auto" w:fill="F3F3F3"/>
        <w:jc w:val="both"/>
        <w:rPr>
          <w:b/>
          <w:i/>
          <w:lang w:eastAsia="ja-JP"/>
        </w:rPr>
      </w:pPr>
    </w:p>
    <w:p w14:paraId="2DDCB5FE" w14:textId="77777777" w:rsidR="00706241" w:rsidRDefault="00706241" w:rsidP="00706241">
      <w:pPr>
        <w:pBdr>
          <w:top w:val="single" w:sz="4" w:space="0" w:color="000000"/>
          <w:left w:val="single" w:sz="4" w:space="0" w:color="000000"/>
          <w:bottom w:val="single" w:sz="4" w:space="0" w:color="000000"/>
          <w:right w:val="single" w:sz="4" w:space="0" w:color="000000"/>
        </w:pBdr>
        <w:shd w:val="clear" w:color="auto" w:fill="F3F3F3"/>
        <w:jc w:val="both"/>
      </w:pPr>
      <w:r>
        <w:rPr>
          <w:b/>
          <w:i/>
        </w:rPr>
        <w:t>Private and public business service providers offering high-quality and market-responsive services to the financial sector are available in Timor-Leste, and a professional microfinance association (AMFITIL) is effectively representing the industry in policy dialogues</w:t>
      </w:r>
      <w:r>
        <w:rPr>
          <w:rStyle w:val="FootnoteReference"/>
          <w:b/>
          <w:i/>
        </w:rPr>
        <w:footnoteReference w:id="1"/>
      </w:r>
      <w:r>
        <w:rPr>
          <w:b/>
          <w:i/>
        </w:rPr>
        <w:t xml:space="preserve">. </w:t>
      </w:r>
    </w:p>
    <w:p w14:paraId="073E91DE" w14:textId="77777777" w:rsidR="00706241" w:rsidRDefault="00706241" w:rsidP="00706241">
      <w:pPr>
        <w:pBdr>
          <w:top w:val="single" w:sz="4" w:space="0" w:color="000000"/>
          <w:left w:val="single" w:sz="4" w:space="0" w:color="000000"/>
          <w:bottom w:val="single" w:sz="4" w:space="0" w:color="000000"/>
          <w:right w:val="single" w:sz="4" w:space="0" w:color="000000"/>
        </w:pBdr>
        <w:shd w:val="clear" w:color="auto" w:fill="F3F3F3"/>
        <w:jc w:val="both"/>
        <w:rPr>
          <w:i/>
          <w:lang w:eastAsia="ja-JP"/>
        </w:rPr>
      </w:pPr>
    </w:p>
    <w:p w14:paraId="066E94CB" w14:textId="77777777" w:rsidR="00706241" w:rsidRDefault="00706241" w:rsidP="00706241">
      <w:pPr>
        <w:pStyle w:val="Default"/>
        <w:jc w:val="both"/>
        <w:rPr>
          <w:rFonts w:ascii="Times New Roman" w:hAnsi="Times New Roman" w:cs="Times New Roman"/>
          <w:bCs/>
          <w:color w:val="auto"/>
          <w:lang w:val="en-GB" w:eastAsia="ja-JP"/>
        </w:rPr>
      </w:pPr>
    </w:p>
    <w:p w14:paraId="5B4EEA7D" w14:textId="77777777" w:rsidR="00706241" w:rsidRPr="00FE41FD" w:rsidRDefault="00706241" w:rsidP="00706241">
      <w:pPr>
        <w:pStyle w:val="Default"/>
        <w:jc w:val="both"/>
        <w:rPr>
          <w:rFonts w:ascii="Times New Roman" w:eastAsia="Times New Roman" w:hAnsi="Times New Roman" w:cs="Times New Roman"/>
          <w:color w:val="auto"/>
          <w:lang w:eastAsia="ja-JP"/>
        </w:rPr>
      </w:pPr>
    </w:p>
    <w:p w14:paraId="7D86A6D5" w14:textId="77777777" w:rsidR="00706241" w:rsidRPr="00FE41FD" w:rsidRDefault="00706241" w:rsidP="00706241">
      <w:pPr>
        <w:pStyle w:val="Heading2"/>
        <w:rPr>
          <w:b w:val="0"/>
          <w:bCs w:val="0"/>
          <w:i/>
          <w:sz w:val="24"/>
          <w:lang w:eastAsia="ja-JP"/>
        </w:rPr>
      </w:pPr>
      <w:bookmarkStart w:id="46" w:name="_Toc384220800"/>
      <w:r w:rsidRPr="00FE41FD">
        <w:rPr>
          <w:b w:val="0"/>
          <w:bCs w:val="0"/>
          <w:i/>
          <w:sz w:val="24"/>
          <w:lang w:eastAsia="ja-JP"/>
        </w:rPr>
        <w:t>The following key activities were implemented in support of Out</w:t>
      </w:r>
      <w:r w:rsidR="00104F56">
        <w:rPr>
          <w:b w:val="0"/>
          <w:bCs w:val="0"/>
          <w:i/>
          <w:sz w:val="24"/>
          <w:lang w:eastAsia="ja-JP"/>
        </w:rPr>
        <w:t xml:space="preserve">put 3 </w:t>
      </w:r>
      <w:del w:id="47" w:author="Fiona Bayat" w:date="2015-04-21T09:11:00Z">
        <w:r w:rsidR="00104F56" w:rsidDel="00F62C22">
          <w:rPr>
            <w:b w:val="0"/>
            <w:bCs w:val="0"/>
            <w:i/>
            <w:sz w:val="24"/>
            <w:lang w:eastAsia="ja-JP"/>
          </w:rPr>
          <w:delText>from January-December 2014</w:delText>
        </w:r>
        <w:r w:rsidRPr="00FE41FD" w:rsidDel="00F62C22">
          <w:rPr>
            <w:b w:val="0"/>
            <w:bCs w:val="0"/>
            <w:i/>
            <w:sz w:val="24"/>
            <w:lang w:eastAsia="ja-JP"/>
          </w:rPr>
          <w:delText>:</w:delText>
        </w:r>
      </w:del>
      <w:bookmarkEnd w:id="46"/>
    </w:p>
    <w:p w14:paraId="31BB2906" w14:textId="77777777" w:rsidR="00706241" w:rsidRDefault="00706241" w:rsidP="00706241">
      <w:pPr>
        <w:pStyle w:val="Default"/>
        <w:jc w:val="both"/>
        <w:rPr>
          <w:rFonts w:ascii="Times New Roman" w:hAnsi="Times New Roman" w:cs="Times New Roman"/>
          <w:b/>
          <w:bCs/>
          <w:i/>
          <w:color w:val="auto"/>
          <w:lang w:val="en-GB" w:eastAsia="ja-JP"/>
        </w:rPr>
      </w:pPr>
    </w:p>
    <w:p w14:paraId="74219787" w14:textId="77777777" w:rsidR="00706241" w:rsidRDefault="004B4E57" w:rsidP="00706241">
      <w:pPr>
        <w:pStyle w:val="Default"/>
        <w:jc w:val="both"/>
        <w:rPr>
          <w:rFonts w:ascii="Times New Roman" w:hAnsi="Times New Roman" w:cs="Times New Roman"/>
          <w:color w:val="auto"/>
          <w:u w:val="single"/>
          <w:lang w:val="en-GB" w:eastAsia="ja-JP"/>
        </w:rPr>
      </w:pPr>
      <w:r>
        <w:rPr>
          <w:rFonts w:ascii="Times New Roman" w:hAnsi="Times New Roman" w:cs="Times New Roman"/>
          <w:color w:val="auto"/>
          <w:u w:val="single"/>
          <w:lang w:eastAsia="ja-JP"/>
        </w:rPr>
        <w:t xml:space="preserve">Savings Groups: </w:t>
      </w:r>
      <w:r w:rsidRPr="004B4E57">
        <w:rPr>
          <w:rFonts w:ascii="Times New Roman" w:hAnsi="Times New Roman" w:cs="Times New Roman"/>
          <w:color w:val="auto"/>
          <w:u w:val="single"/>
          <w:lang w:val="en-GB" w:eastAsia="ja-JP"/>
        </w:rPr>
        <w:t>A training of trainers wo</w:t>
      </w:r>
      <w:r>
        <w:rPr>
          <w:rFonts w:ascii="Times New Roman" w:hAnsi="Times New Roman" w:cs="Times New Roman"/>
          <w:color w:val="auto"/>
          <w:u w:val="single"/>
          <w:lang w:val="en-GB" w:eastAsia="ja-JP"/>
        </w:rPr>
        <w:t xml:space="preserve">rkshop </w:t>
      </w:r>
      <w:r w:rsidRPr="004B4E57">
        <w:rPr>
          <w:rFonts w:ascii="Times New Roman" w:hAnsi="Times New Roman" w:cs="Times New Roman"/>
          <w:color w:val="auto"/>
          <w:u w:val="single"/>
          <w:lang w:val="en-GB" w:eastAsia="ja-JP"/>
        </w:rPr>
        <w:t>on field balancing, international context, cash planning for in</w:t>
      </w:r>
      <w:r>
        <w:rPr>
          <w:rFonts w:ascii="Times New Roman" w:hAnsi="Times New Roman" w:cs="Times New Roman"/>
          <w:color w:val="auto"/>
          <w:u w:val="single"/>
          <w:lang w:val="en-GB" w:eastAsia="ja-JP"/>
        </w:rPr>
        <w:t xml:space="preserve">dividual members </w:t>
      </w:r>
      <w:r w:rsidRPr="004B4E57">
        <w:rPr>
          <w:rFonts w:ascii="Times New Roman" w:hAnsi="Times New Roman" w:cs="Times New Roman"/>
          <w:color w:val="auto"/>
          <w:u w:val="single"/>
          <w:lang w:val="en-GB" w:eastAsia="ja-JP"/>
        </w:rPr>
        <w:t>and cash security</w:t>
      </w:r>
    </w:p>
    <w:p w14:paraId="47BF19C4" w14:textId="77777777" w:rsidR="004B4E57" w:rsidRDefault="004B4E57" w:rsidP="00706241">
      <w:pPr>
        <w:pStyle w:val="Default"/>
        <w:jc w:val="both"/>
        <w:rPr>
          <w:rFonts w:ascii="Times New Roman" w:hAnsi="Times New Roman" w:cs="Times New Roman"/>
          <w:color w:val="auto"/>
          <w:u w:val="single"/>
          <w:lang w:eastAsia="ja-JP"/>
        </w:rPr>
      </w:pPr>
    </w:p>
    <w:p w14:paraId="094C5AA2" w14:textId="77777777" w:rsidR="00733CF2" w:rsidRDefault="00733CF2" w:rsidP="00230AA1">
      <w:pPr>
        <w:pStyle w:val="ListParagraph"/>
        <w:numPr>
          <w:ilvl w:val="0"/>
          <w:numId w:val="29"/>
        </w:numPr>
      </w:pPr>
      <w:r>
        <w:t>A Savings Groups Advisory, Brett Matthews was procured to support INFUSE activities.</w:t>
      </w:r>
    </w:p>
    <w:p w14:paraId="513DB7F1" w14:textId="77777777" w:rsidR="00230AA1" w:rsidRDefault="00230AA1" w:rsidP="00230AA1">
      <w:pPr>
        <w:pStyle w:val="ListParagraph"/>
        <w:numPr>
          <w:ilvl w:val="0"/>
          <w:numId w:val="29"/>
        </w:numPr>
      </w:pPr>
      <w:r>
        <w:t xml:space="preserve">Field assessment of SGs involving interviews and spot-checks with 29 groups across 6 districts, with a heavy weighting on Oecusse, where most groups are located. </w:t>
      </w:r>
    </w:p>
    <w:p w14:paraId="47C67024" w14:textId="77777777" w:rsidR="00230AA1" w:rsidRDefault="00230AA1" w:rsidP="00230AA1">
      <w:pPr>
        <w:pStyle w:val="ListParagraph"/>
        <w:numPr>
          <w:ilvl w:val="0"/>
          <w:numId w:val="29"/>
        </w:numPr>
      </w:pPr>
      <w:r>
        <w:t xml:space="preserve">Two workshops were successfully organized to share the findings of his field assessment and to build consensus around priority actions. The first workshop on 2 Sep was for senior management and practitioners from the major international and local NGOs. The workshop agreed that a set of core principles and capacity building were their priority. The second workshop on 3 Sep was to share the priorities of the first workshop with development partners and government ministries and to inform them of the potential role that SGs can play in supporting their ongoing work. </w:t>
      </w:r>
    </w:p>
    <w:p w14:paraId="22C8FBE2" w14:textId="77777777" w:rsidR="00733CF2" w:rsidRDefault="00230AA1" w:rsidP="00733CF2">
      <w:pPr>
        <w:pStyle w:val="ListParagraph"/>
        <w:numPr>
          <w:ilvl w:val="0"/>
          <w:numId w:val="29"/>
        </w:numPr>
      </w:pPr>
      <w:r>
        <w:t>The priorities were endorsed by the SGsTWG at their 26 Sep meeting.</w:t>
      </w:r>
    </w:p>
    <w:p w14:paraId="1373C8AC" w14:textId="77777777" w:rsidR="00230AA1" w:rsidRDefault="00230AA1" w:rsidP="00733CF2">
      <w:pPr>
        <w:pStyle w:val="ListParagraph"/>
        <w:numPr>
          <w:ilvl w:val="0"/>
          <w:numId w:val="29"/>
        </w:numPr>
      </w:pPr>
      <w:r>
        <w:t>Based on these priorities the following outputs were accomplished:</w:t>
      </w:r>
    </w:p>
    <w:p w14:paraId="5BE63178" w14:textId="77777777" w:rsidR="00230AA1" w:rsidRDefault="00230AA1" w:rsidP="00230AA1">
      <w:pPr>
        <w:pStyle w:val="ListParagraph"/>
        <w:ind w:left="1080" w:hanging="360"/>
      </w:pPr>
      <w:r>
        <w:t>-</w:t>
      </w:r>
      <w:r>
        <w:rPr>
          <w:sz w:val="14"/>
          <w:szCs w:val="14"/>
        </w:rPr>
        <w:t>     </w:t>
      </w:r>
      <w:r w:rsidR="00733CF2">
        <w:rPr>
          <w:sz w:val="14"/>
          <w:szCs w:val="14"/>
        </w:rPr>
        <w:t xml:space="preserve">   </w:t>
      </w:r>
      <w:r>
        <w:t>A set of core principles and methods for SGs</w:t>
      </w:r>
    </w:p>
    <w:p w14:paraId="2904B145" w14:textId="77777777" w:rsidR="00230AA1" w:rsidRDefault="00230AA1" w:rsidP="00230AA1">
      <w:pPr>
        <w:pStyle w:val="ListParagraph"/>
        <w:ind w:left="1080" w:hanging="360"/>
      </w:pPr>
      <w:r>
        <w:t>-</w:t>
      </w:r>
      <w:r>
        <w:rPr>
          <w:sz w:val="14"/>
          <w:szCs w:val="14"/>
        </w:rPr>
        <w:t xml:space="preserve">        </w:t>
      </w:r>
      <w:r>
        <w:t>A code of conduct for SG practitioners</w:t>
      </w:r>
    </w:p>
    <w:p w14:paraId="34117464" w14:textId="77777777" w:rsidR="00230AA1" w:rsidRDefault="00230AA1" w:rsidP="00230AA1">
      <w:pPr>
        <w:pStyle w:val="ListParagraph"/>
        <w:ind w:left="1080" w:hanging="360"/>
      </w:pPr>
      <w:r>
        <w:t>-</w:t>
      </w:r>
      <w:r>
        <w:rPr>
          <w:sz w:val="14"/>
          <w:szCs w:val="14"/>
        </w:rPr>
        <w:t xml:space="preserve">        </w:t>
      </w:r>
      <w:r>
        <w:t>A training of trainers workshop (15-19 Nov) on field balancing, international context, cash planning for individual members, and cash security was held in Oecusse (with representation from 12 NGOs)</w:t>
      </w:r>
    </w:p>
    <w:p w14:paraId="1CAAEF61" w14:textId="77777777" w:rsidR="00230AA1" w:rsidRDefault="00230AA1" w:rsidP="00230AA1">
      <w:pPr>
        <w:pStyle w:val="ListParagraph"/>
        <w:ind w:left="1080" w:hanging="360"/>
      </w:pPr>
      <w:r>
        <w:t>-</w:t>
      </w:r>
      <w:r>
        <w:rPr>
          <w:sz w:val="14"/>
          <w:szCs w:val="14"/>
        </w:rPr>
        <w:t xml:space="preserve">        </w:t>
      </w:r>
      <w:r>
        <w:t>A training of trainers workshop (17-19 Nov) on action auditing was held in Oecusse (with 6 trainers)</w:t>
      </w:r>
    </w:p>
    <w:p w14:paraId="64AE27EA" w14:textId="77777777" w:rsidR="00733CF2" w:rsidRDefault="00230AA1" w:rsidP="00733CF2">
      <w:pPr>
        <w:pStyle w:val="ListParagraph"/>
        <w:ind w:left="1080" w:hanging="360"/>
      </w:pPr>
      <w:r>
        <w:t>-</w:t>
      </w:r>
      <w:r>
        <w:rPr>
          <w:sz w:val="14"/>
          <w:szCs w:val="14"/>
        </w:rPr>
        <w:t xml:space="preserve">        </w:t>
      </w:r>
      <w:r>
        <w:t>A draft training manual covering the topics of the two workshops (to be translated into Tetum and finalized before end of Dec)</w:t>
      </w:r>
    </w:p>
    <w:p w14:paraId="083E2762" w14:textId="77777777" w:rsidR="00230AA1" w:rsidRDefault="00230AA1" w:rsidP="00230AA1">
      <w:pPr>
        <w:pStyle w:val="ListParagraph"/>
        <w:numPr>
          <w:ilvl w:val="0"/>
          <w:numId w:val="34"/>
        </w:numPr>
      </w:pPr>
      <w:r>
        <w:t>Brett also provided advice to several NGOs on capacity issues specific to their organizations.</w:t>
      </w:r>
    </w:p>
    <w:p w14:paraId="5379993E" w14:textId="77777777" w:rsidR="00512274" w:rsidRDefault="00512274" w:rsidP="00512274">
      <w:pPr>
        <w:pStyle w:val="ListParagraph"/>
        <w:ind w:left="360"/>
      </w:pPr>
    </w:p>
    <w:p w14:paraId="7AF8B3AA" w14:textId="77777777" w:rsidR="00706241" w:rsidRDefault="00706241" w:rsidP="00FD7780">
      <w:pPr>
        <w:rPr>
          <w:u w:val="single"/>
          <w:lang w:eastAsia="ja-JP"/>
        </w:rPr>
      </w:pPr>
      <w:r w:rsidRPr="00FD7780">
        <w:rPr>
          <w:u w:val="single"/>
          <w:lang w:eastAsia="ja-JP"/>
        </w:rPr>
        <w:t>Mobile branchless banking innovations</w:t>
      </w:r>
    </w:p>
    <w:p w14:paraId="32118049" w14:textId="77777777" w:rsidR="00043EC3" w:rsidRDefault="00043EC3" w:rsidP="00043EC3">
      <w:pPr>
        <w:pStyle w:val="ListParagraph"/>
        <w:numPr>
          <w:ilvl w:val="0"/>
          <w:numId w:val="34"/>
        </w:numPr>
        <w:suppressAutoHyphens w:val="0"/>
        <w:autoSpaceDE w:val="0"/>
        <w:jc w:val="both"/>
        <w:textAlignment w:val="auto"/>
        <w:rPr>
          <w:lang w:val="en-GB" w:eastAsia="ja-JP"/>
        </w:rPr>
      </w:pPr>
      <w:r w:rsidRPr="00043EC3">
        <w:rPr>
          <w:lang w:val="en-GB" w:eastAsia="ja-JP"/>
        </w:rPr>
        <w:t>INFUSE engaged MicroSave to provide technical assistance to BNU for the design, planning, preparation and launch of the pilot service in Timor-Leste. The efforts of all these institutions enabled a successful and on time</w:t>
      </w:r>
      <w:r>
        <w:rPr>
          <w:lang w:val="en-GB" w:eastAsia="ja-JP"/>
        </w:rPr>
        <w:t xml:space="preserve"> launch of the pilot on </w:t>
      </w:r>
      <w:r>
        <w:rPr>
          <w:vertAlign w:val="superscript"/>
          <w:lang w:val="en-GB" w:eastAsia="ja-JP"/>
        </w:rPr>
        <w:t xml:space="preserve">3rd </w:t>
      </w:r>
      <w:r w:rsidRPr="00043EC3">
        <w:rPr>
          <w:lang w:val="en-GB" w:eastAsia="ja-JP"/>
        </w:rPr>
        <w:t>December, 2014 in Dili, the capital of Timor-Leste.</w:t>
      </w:r>
    </w:p>
    <w:p w14:paraId="6473505A" w14:textId="77777777" w:rsidR="00C33AA9" w:rsidRDefault="00043EC3" w:rsidP="00043EC3">
      <w:pPr>
        <w:pStyle w:val="ListParagraph"/>
        <w:numPr>
          <w:ilvl w:val="0"/>
          <w:numId w:val="34"/>
        </w:numPr>
        <w:suppressAutoHyphens w:val="0"/>
        <w:autoSpaceDE w:val="0"/>
        <w:jc w:val="both"/>
        <w:textAlignment w:val="auto"/>
        <w:rPr>
          <w:lang w:val="en-GB" w:eastAsia="ja-JP"/>
        </w:rPr>
      </w:pPr>
      <w:r w:rsidRPr="00043EC3">
        <w:rPr>
          <w:lang w:val="en-GB" w:eastAsia="ja-JP"/>
        </w:rPr>
        <w:t xml:space="preserve">Technical assistance provided by INFUSE covered design of the pilot; agent segmentation, selection and training; development of key front-end processes; and information communication and education (IEC) related support based on global good practices and local relevance. </w:t>
      </w:r>
    </w:p>
    <w:p w14:paraId="36DE72C0" w14:textId="77777777" w:rsidR="00043EC3" w:rsidRDefault="00043EC3" w:rsidP="00043EC3">
      <w:pPr>
        <w:pStyle w:val="ListParagraph"/>
        <w:numPr>
          <w:ilvl w:val="0"/>
          <w:numId w:val="34"/>
        </w:numPr>
        <w:suppressAutoHyphens w:val="0"/>
        <w:autoSpaceDE w:val="0"/>
        <w:jc w:val="both"/>
        <w:textAlignment w:val="auto"/>
        <w:rPr>
          <w:lang w:val="en-GB" w:eastAsia="ja-JP"/>
        </w:rPr>
      </w:pPr>
      <w:r w:rsidRPr="00043EC3">
        <w:rPr>
          <w:lang w:val="en-GB" w:eastAsia="ja-JP"/>
        </w:rPr>
        <w:t>The scope of the pilot was agreed as four districts of Dili, Baucau, Ermera and Lautem, with involvement of BNU branches and 15 functional agents to support the services. The service was eventually branded as BNU Mobile for the pilot phase. Timor Telecom has agreed to partner with BNU and power the BNU Mobile wallet. Apart from providing USSD channel and network infrastructure to BNU, Timor Telecom is jointly involved in co-branding, marketing and communication of BNU Mobile services. Timor Telecom is also co-promoting the service by offering bonus talk-time (pulsa) on registration and usage of BNU Mobile. Timor Telecom stores will be additional outlets for BNU Mobile.</w:t>
      </w:r>
    </w:p>
    <w:p w14:paraId="0EE4F25D" w14:textId="77777777" w:rsidR="00C33AA9" w:rsidRPr="00043EC3" w:rsidRDefault="00C33AA9" w:rsidP="00043EC3">
      <w:pPr>
        <w:pStyle w:val="ListParagraph"/>
        <w:numPr>
          <w:ilvl w:val="0"/>
          <w:numId w:val="34"/>
        </w:numPr>
        <w:suppressAutoHyphens w:val="0"/>
        <w:autoSpaceDE w:val="0"/>
        <w:jc w:val="both"/>
        <w:textAlignment w:val="auto"/>
        <w:rPr>
          <w:lang w:val="en-GB" w:eastAsia="ja-JP"/>
        </w:rPr>
      </w:pPr>
      <w:r>
        <w:rPr>
          <w:lang w:val="en-GB" w:eastAsia="ja-JP"/>
        </w:rPr>
        <w:t xml:space="preserve">The service marks the first mobile money service in the country and lays the foundation for a new digital payments infrastructure that can be expanded and built upon. </w:t>
      </w:r>
    </w:p>
    <w:p w14:paraId="00329F9F" w14:textId="77777777" w:rsidR="00FD7780" w:rsidRDefault="00FD7780" w:rsidP="00FD7780">
      <w:pPr>
        <w:suppressAutoHyphens w:val="0"/>
        <w:autoSpaceDE w:val="0"/>
        <w:jc w:val="both"/>
        <w:textAlignment w:val="auto"/>
        <w:rPr>
          <w:lang w:eastAsia="ja-JP"/>
        </w:rPr>
      </w:pPr>
    </w:p>
    <w:p w14:paraId="31225554" w14:textId="77777777" w:rsidR="00706241" w:rsidRPr="00F06E39" w:rsidRDefault="00706241" w:rsidP="00FD7780">
      <w:pPr>
        <w:suppressAutoHyphens w:val="0"/>
        <w:autoSpaceDE w:val="0"/>
        <w:jc w:val="both"/>
        <w:textAlignment w:val="auto"/>
        <w:rPr>
          <w:u w:val="single"/>
          <w:lang w:eastAsia="ja-JP"/>
        </w:rPr>
      </w:pPr>
      <w:r w:rsidRPr="00F06E39">
        <w:rPr>
          <w:u w:val="single"/>
          <w:lang w:eastAsia="ja-JP"/>
        </w:rPr>
        <w:t>Promoti</w:t>
      </w:r>
      <w:r>
        <w:rPr>
          <w:u w:val="single"/>
          <w:lang w:eastAsia="ja-JP"/>
        </w:rPr>
        <w:t>on of</w:t>
      </w:r>
      <w:r w:rsidRPr="00F06E39">
        <w:rPr>
          <w:u w:val="single"/>
          <w:lang w:eastAsia="ja-JP"/>
        </w:rPr>
        <w:t xml:space="preserve"> industry dialogue</w:t>
      </w:r>
    </w:p>
    <w:p w14:paraId="0D3044B2" w14:textId="77777777" w:rsidR="00512274" w:rsidRDefault="00512274" w:rsidP="00733CF2">
      <w:pPr>
        <w:pStyle w:val="ListParagraph"/>
        <w:numPr>
          <w:ilvl w:val="0"/>
          <w:numId w:val="17"/>
        </w:numPr>
      </w:pPr>
      <w:r>
        <w:t>INFUSE fulfilled the role of secretariat for the SGsTWG</w:t>
      </w:r>
      <w:r w:rsidR="00265FD3">
        <w:t xml:space="preserve"> and t</w:t>
      </w:r>
      <w:r>
        <w:t xml:space="preserve">he group agreed unanimously to continue the SGsTWG after INFUSE wraps up in December, and set their next meeting for 16 Jan 2015 to be convened </w:t>
      </w:r>
      <w:r>
        <w:lastRenderedPageBreak/>
        <w:t>by Oxfam. They also unanimously ratified the 6 core principles for the safe and effective operation of SGs in Timor Leste</w:t>
      </w:r>
      <w:r w:rsidR="00265FD3">
        <w:t>.</w:t>
      </w:r>
    </w:p>
    <w:p w14:paraId="0FC825FA" w14:textId="77777777" w:rsidR="00733CF2" w:rsidRDefault="00733CF2" w:rsidP="00733CF2">
      <w:pPr>
        <w:pStyle w:val="ListParagraph"/>
        <w:numPr>
          <w:ilvl w:val="0"/>
          <w:numId w:val="17"/>
        </w:numPr>
      </w:pPr>
      <w:r>
        <w:t>Development partners and government ministries, including BCTL, have been informed of the potential role of SGs in furthering financial inclusion as well as contributing to equitable development – especially of resource-poor rural women.</w:t>
      </w:r>
    </w:p>
    <w:p w14:paraId="0C659BF9" w14:textId="77777777" w:rsidR="008B3B96" w:rsidRDefault="008B3B96" w:rsidP="00733CF2">
      <w:pPr>
        <w:pStyle w:val="ListParagraph"/>
        <w:numPr>
          <w:ilvl w:val="0"/>
          <w:numId w:val="17"/>
        </w:numPr>
      </w:pPr>
      <w:r>
        <w:rPr>
          <w:lang w:val="en-GB"/>
        </w:rPr>
        <w:t>INFUSE</w:t>
      </w:r>
      <w:r w:rsidRPr="008B3B96">
        <w:rPr>
          <w:lang w:val="en-GB"/>
        </w:rPr>
        <w:t xml:space="preserve"> has been in dialogue and engagement with the central bank of Timor-Leste (BCTL) and BNU for provision of branchless banking /mobile money services in Timor-Leste to enable better access and outreach of financial services to the unbanked and under-banked. The central bank gave an approval to BNU in September 2014 to pilot the first ever mobile wallet in the country</w:t>
      </w:r>
      <w:r w:rsidR="00EF328B">
        <w:rPr>
          <w:lang w:val="en-GB"/>
        </w:rPr>
        <w:t>.</w:t>
      </w:r>
    </w:p>
    <w:p w14:paraId="311D631E" w14:textId="77777777" w:rsidR="00733CF2" w:rsidRDefault="00733CF2" w:rsidP="00733CF2">
      <w:pPr>
        <w:suppressAutoHyphens w:val="0"/>
        <w:autoSpaceDE w:val="0"/>
        <w:spacing w:after="240"/>
        <w:jc w:val="both"/>
        <w:textAlignment w:val="auto"/>
      </w:pPr>
    </w:p>
    <w:p w14:paraId="4F705090" w14:textId="77777777" w:rsidR="00706241" w:rsidRDefault="00706241" w:rsidP="002D15AE">
      <w:pPr>
        <w:pStyle w:val="Default"/>
        <w:pBdr>
          <w:top w:val="single" w:sz="4" w:space="0" w:color="000000"/>
          <w:left w:val="single" w:sz="4" w:space="0" w:color="000000"/>
          <w:bottom w:val="single" w:sz="4" w:space="0" w:color="000000"/>
          <w:right w:val="single" w:sz="4" w:space="0" w:color="000000"/>
        </w:pBdr>
        <w:shd w:val="clear" w:color="auto" w:fill="CCCCCC"/>
        <w:jc w:val="both"/>
        <w:rPr>
          <w:rFonts w:ascii="Times New Roman" w:hAnsi="Times New Roman" w:cs="Times New Roman"/>
          <w:b/>
          <w:color w:val="auto"/>
          <w:lang w:val="en-GB"/>
        </w:rPr>
      </w:pPr>
    </w:p>
    <w:p w14:paraId="22CF75E9" w14:textId="77777777" w:rsidR="00706241" w:rsidRDefault="00706241" w:rsidP="002D15AE">
      <w:pPr>
        <w:pStyle w:val="Default"/>
        <w:pBdr>
          <w:top w:val="single" w:sz="4" w:space="0" w:color="000000"/>
          <w:left w:val="single" w:sz="4" w:space="0" w:color="000000"/>
          <w:bottom w:val="single" w:sz="4" w:space="0" w:color="000000"/>
          <w:right w:val="single" w:sz="4" w:space="0" w:color="000000"/>
        </w:pBdr>
        <w:shd w:val="clear" w:color="auto" w:fill="CCCCCC"/>
        <w:jc w:val="both"/>
        <w:rPr>
          <w:rFonts w:ascii="Times New Roman" w:hAnsi="Times New Roman" w:cs="Times New Roman"/>
          <w:b/>
          <w:caps/>
          <w:color w:val="auto"/>
          <w:lang w:val="en-GB"/>
        </w:rPr>
      </w:pPr>
      <w:r>
        <w:rPr>
          <w:rFonts w:ascii="Times New Roman" w:hAnsi="Times New Roman" w:cs="Times New Roman"/>
          <w:b/>
          <w:caps/>
          <w:color w:val="auto"/>
          <w:lang w:val="en-GB"/>
        </w:rPr>
        <w:t>CHALLENGES AND LESSONS LEARNT</w:t>
      </w:r>
    </w:p>
    <w:p w14:paraId="0BEB3E12" w14:textId="77777777" w:rsidR="00706241" w:rsidRDefault="00706241" w:rsidP="002D15AE">
      <w:pPr>
        <w:pStyle w:val="Default"/>
        <w:pBdr>
          <w:top w:val="single" w:sz="4" w:space="0" w:color="000000"/>
          <w:left w:val="single" w:sz="4" w:space="0" w:color="000000"/>
          <w:bottom w:val="single" w:sz="4" w:space="0" w:color="000000"/>
          <w:right w:val="single" w:sz="4" w:space="0" w:color="000000"/>
        </w:pBdr>
        <w:shd w:val="clear" w:color="auto" w:fill="CCCCCC"/>
        <w:jc w:val="both"/>
        <w:rPr>
          <w:rFonts w:ascii="Times New Roman" w:hAnsi="Times New Roman" w:cs="Times New Roman"/>
          <w:b/>
          <w:color w:val="auto"/>
          <w:lang w:val="en-GB"/>
        </w:rPr>
      </w:pPr>
    </w:p>
    <w:p w14:paraId="5AB8E485" w14:textId="77777777" w:rsidR="00706241" w:rsidRDefault="00706241" w:rsidP="005F3E9B">
      <w:pPr>
        <w:suppressAutoHyphens w:val="0"/>
        <w:autoSpaceDE w:val="0"/>
        <w:spacing w:after="240"/>
        <w:jc w:val="both"/>
        <w:textAlignment w:val="auto"/>
        <w:rPr>
          <w:lang w:eastAsia="ja-JP"/>
        </w:rPr>
      </w:pPr>
    </w:p>
    <w:p w14:paraId="0223B410" w14:textId="77777777" w:rsidR="00706241" w:rsidRDefault="007C576E" w:rsidP="00706241">
      <w:pPr>
        <w:numPr>
          <w:ilvl w:val="1"/>
          <w:numId w:val="18"/>
        </w:numPr>
        <w:tabs>
          <w:tab w:val="left" w:pos="360"/>
        </w:tabs>
        <w:suppressAutoHyphens w:val="0"/>
        <w:autoSpaceDE w:val="0"/>
        <w:ind w:left="360"/>
        <w:jc w:val="both"/>
        <w:textAlignment w:val="auto"/>
      </w:pPr>
      <w:r>
        <w:t>Due to the impending closure of the pro</w:t>
      </w:r>
      <w:r w:rsidR="00E814C1">
        <w:t>gramme, key personnel were lost</w:t>
      </w:r>
      <w:r>
        <w:t xml:space="preserve"> from the beginning to mid 2014 including the CTA and National Programme Officer. Towards the end of the programme, the Admin and Finance Officer also left.</w:t>
      </w:r>
    </w:p>
    <w:p w14:paraId="2EBF72F3" w14:textId="77777777" w:rsidR="007C576E" w:rsidRDefault="007C576E" w:rsidP="00706241">
      <w:pPr>
        <w:numPr>
          <w:ilvl w:val="1"/>
          <w:numId w:val="18"/>
        </w:numPr>
        <w:tabs>
          <w:tab w:val="left" w:pos="360"/>
        </w:tabs>
        <w:suppressAutoHyphens w:val="0"/>
        <w:autoSpaceDE w:val="0"/>
        <w:ind w:left="360"/>
        <w:jc w:val="both"/>
        <w:textAlignment w:val="auto"/>
      </w:pPr>
      <w:r>
        <w:t>Due to the quick departure of the CTA in February, an interim programme manager was quickly sought to continue the CTA’s duties.</w:t>
      </w:r>
    </w:p>
    <w:p w14:paraId="01A9A368" w14:textId="77777777" w:rsidR="007C576E" w:rsidRPr="00BC2973" w:rsidRDefault="007C576E" w:rsidP="00D81019">
      <w:pPr>
        <w:numPr>
          <w:ilvl w:val="1"/>
          <w:numId w:val="18"/>
        </w:numPr>
        <w:tabs>
          <w:tab w:val="left" w:pos="360"/>
        </w:tabs>
        <w:suppressAutoHyphens w:val="0"/>
        <w:autoSpaceDE w:val="0"/>
        <w:ind w:left="360"/>
        <w:jc w:val="both"/>
        <w:textAlignment w:val="auto"/>
      </w:pPr>
      <w:r>
        <w:t>The absence of key personnel meant that resources were stretched, but lessons were learnt on how to compromise with UNDP to use staff for support where needed.</w:t>
      </w:r>
    </w:p>
    <w:p w14:paraId="63EE9011" w14:textId="77777777" w:rsidR="00706241" w:rsidRPr="00F34D9B" w:rsidRDefault="00706241" w:rsidP="00706241">
      <w:pPr>
        <w:tabs>
          <w:tab w:val="left" w:pos="360"/>
        </w:tabs>
        <w:suppressAutoHyphens w:val="0"/>
        <w:autoSpaceDE w:val="0"/>
        <w:jc w:val="both"/>
        <w:textAlignment w:val="auto"/>
        <w:rPr>
          <w:color w:val="9CC2E5" w:themeColor="accent1" w:themeTint="99"/>
        </w:rPr>
      </w:pPr>
    </w:p>
    <w:p w14:paraId="5219BA5C" w14:textId="77777777" w:rsidR="00706241" w:rsidRDefault="00706241" w:rsidP="002D15AE">
      <w:pPr>
        <w:suppressAutoHyphens w:val="0"/>
        <w:autoSpaceDE w:val="0"/>
        <w:jc w:val="both"/>
        <w:textAlignment w:val="auto"/>
        <w:rPr>
          <w:lang w:eastAsia="ja-JP"/>
        </w:rPr>
      </w:pPr>
    </w:p>
    <w:p w14:paraId="400F4D17" w14:textId="77777777" w:rsidR="00706241" w:rsidRDefault="00706241" w:rsidP="00706241">
      <w:pPr>
        <w:pStyle w:val="Default"/>
        <w:pBdr>
          <w:top w:val="single" w:sz="4" w:space="0" w:color="000000"/>
          <w:left w:val="single" w:sz="4" w:space="0" w:color="000000"/>
          <w:bottom w:val="single" w:sz="4" w:space="0" w:color="000000"/>
          <w:right w:val="single" w:sz="4" w:space="0" w:color="000000"/>
        </w:pBdr>
        <w:shd w:val="clear" w:color="auto" w:fill="CCCCCC"/>
        <w:jc w:val="both"/>
        <w:rPr>
          <w:rFonts w:ascii="Times New Roman" w:hAnsi="Times New Roman" w:cs="Times New Roman"/>
          <w:b/>
          <w:color w:val="auto"/>
          <w:lang w:val="en-GB"/>
        </w:rPr>
      </w:pPr>
    </w:p>
    <w:p w14:paraId="260D33E3" w14:textId="77777777" w:rsidR="00706241" w:rsidRPr="00E814C1" w:rsidRDefault="00706241" w:rsidP="00706241">
      <w:pPr>
        <w:pStyle w:val="Default"/>
        <w:pBdr>
          <w:top w:val="single" w:sz="4" w:space="0" w:color="000000"/>
          <w:left w:val="single" w:sz="4" w:space="0" w:color="000000"/>
          <w:bottom w:val="single" w:sz="4" w:space="0" w:color="000000"/>
          <w:right w:val="single" w:sz="4" w:space="0" w:color="000000"/>
        </w:pBdr>
        <w:shd w:val="clear" w:color="auto" w:fill="CCCCCC"/>
        <w:jc w:val="both"/>
        <w:rPr>
          <w:rFonts w:ascii="Times New Roman" w:hAnsi="Times New Roman" w:cs="Times New Roman"/>
          <w:b/>
          <w:caps/>
          <w:color w:val="auto"/>
          <w:lang w:val="en-GB"/>
        </w:rPr>
      </w:pPr>
      <w:r w:rsidRPr="00E814C1">
        <w:rPr>
          <w:rFonts w:ascii="Times New Roman" w:hAnsi="Times New Roman" w:cs="Times New Roman"/>
          <w:b/>
          <w:caps/>
          <w:color w:val="auto"/>
          <w:lang w:val="en-GB"/>
        </w:rPr>
        <w:t>Qualitative assessment of the results</w:t>
      </w:r>
    </w:p>
    <w:p w14:paraId="638C5EB5" w14:textId="77777777" w:rsidR="00706241" w:rsidRPr="00E814C1" w:rsidRDefault="00706241" w:rsidP="00706241">
      <w:pPr>
        <w:pStyle w:val="Default"/>
        <w:pBdr>
          <w:top w:val="single" w:sz="4" w:space="0" w:color="000000"/>
          <w:left w:val="single" w:sz="4" w:space="0" w:color="000000"/>
          <w:bottom w:val="single" w:sz="4" w:space="0" w:color="000000"/>
          <w:right w:val="single" w:sz="4" w:space="0" w:color="000000"/>
        </w:pBdr>
        <w:shd w:val="clear" w:color="auto" w:fill="CCCCCC"/>
        <w:jc w:val="both"/>
        <w:rPr>
          <w:rFonts w:ascii="Times New Roman" w:hAnsi="Times New Roman" w:cs="Times New Roman"/>
          <w:b/>
          <w:color w:val="auto"/>
          <w:lang w:val="en-GB"/>
        </w:rPr>
      </w:pPr>
    </w:p>
    <w:p w14:paraId="1B1A3E64" w14:textId="77777777" w:rsidR="00706241" w:rsidRPr="00E814C1" w:rsidRDefault="00706241" w:rsidP="00706241">
      <w:pPr>
        <w:pStyle w:val="Default"/>
        <w:jc w:val="both"/>
        <w:rPr>
          <w:rFonts w:ascii="Times New Roman" w:hAnsi="Times New Roman" w:cs="Times New Roman"/>
          <w:bCs/>
          <w:color w:val="auto"/>
          <w:lang w:val="en-GB" w:eastAsia="ja-JP"/>
        </w:rPr>
      </w:pPr>
    </w:p>
    <w:p w14:paraId="58D846BD" w14:textId="77777777" w:rsidR="00706241" w:rsidRDefault="00E814C1" w:rsidP="00E814C1">
      <w:pPr>
        <w:pStyle w:val="Heading2"/>
        <w:rPr>
          <w:b w:val="0"/>
          <w:bCs w:val="0"/>
          <w:iCs/>
          <w:sz w:val="24"/>
          <w:u w:val="single"/>
        </w:rPr>
      </w:pPr>
      <w:r>
        <w:rPr>
          <w:b w:val="0"/>
          <w:bCs w:val="0"/>
          <w:iCs/>
          <w:sz w:val="24"/>
          <w:u w:val="single"/>
        </w:rPr>
        <w:t xml:space="preserve">Programme Achievements </w:t>
      </w:r>
    </w:p>
    <w:p w14:paraId="7C1E9447" w14:textId="77777777" w:rsidR="00E814C1" w:rsidRDefault="00E814C1" w:rsidP="00E814C1">
      <w:r w:rsidRPr="00E814C1">
        <w:t>Despite a</w:t>
      </w:r>
      <w:r>
        <w:t xml:space="preserve"> challenging year in which all staff (by December) left the team, and during which the programme was not given $100,000 in planned funding, INFUSE was able to deliver key results to contribute to financial inclusion in Timor-Lest</w:t>
      </w:r>
      <w:r w:rsidR="00320ADC">
        <w:t>e in 2014</w:t>
      </w:r>
      <w:r>
        <w:t xml:space="preserve">. </w:t>
      </w:r>
    </w:p>
    <w:p w14:paraId="3C2B5CE8" w14:textId="77777777" w:rsidR="00320ADC" w:rsidRPr="00320ADC" w:rsidRDefault="00320ADC" w:rsidP="00320ADC">
      <w:pPr>
        <w:pStyle w:val="ListParagraph"/>
        <w:numPr>
          <w:ilvl w:val="0"/>
          <w:numId w:val="30"/>
        </w:numPr>
        <w:suppressAutoHyphens w:val="0"/>
        <w:autoSpaceDN/>
        <w:contextualSpacing/>
        <w:textAlignment w:val="auto"/>
        <w:rPr>
          <w:lang w:val="en-GB"/>
        </w:rPr>
      </w:pPr>
      <w:r w:rsidRPr="00320ADC">
        <w:rPr>
          <w:lang w:val="en-GB"/>
        </w:rPr>
        <w:t xml:space="preserve">Launch of the first </w:t>
      </w:r>
      <w:hyperlink r:id="rId14" w:history="1">
        <w:r w:rsidRPr="00320ADC">
          <w:rPr>
            <w:rStyle w:val="Hyperlink"/>
            <w:lang w:val="en-GB"/>
          </w:rPr>
          <w:t>Digital financial services product in Timor-Leste, Dec 04, 2014</w:t>
        </w:r>
      </w:hyperlink>
      <w:r w:rsidRPr="00320ADC">
        <w:rPr>
          <w:lang w:val="en-GB"/>
        </w:rPr>
        <w:t xml:space="preserve"> called BNU Mobile.  The grant was initiated, implemented and successfully completed in 8 months.  No handover was necessary.</w:t>
      </w:r>
    </w:p>
    <w:p w14:paraId="66980686" w14:textId="77777777" w:rsidR="00320ADC" w:rsidRPr="00320ADC" w:rsidRDefault="00320ADC" w:rsidP="00320ADC">
      <w:pPr>
        <w:pStyle w:val="ListParagraph"/>
        <w:numPr>
          <w:ilvl w:val="0"/>
          <w:numId w:val="30"/>
        </w:numPr>
        <w:suppressAutoHyphens w:val="0"/>
        <w:autoSpaceDN/>
        <w:contextualSpacing/>
        <w:textAlignment w:val="auto"/>
        <w:rPr>
          <w:lang w:val="en-GB"/>
        </w:rPr>
      </w:pPr>
      <w:r w:rsidRPr="00320ADC">
        <w:rPr>
          <w:lang w:val="en-GB"/>
        </w:rPr>
        <w:t>Publication of the State of sector report, the establishment of a set of core principles and methods for informal Savings Groups, an training to implementers was completed.  Handover over of activity was given to atechnical working group and UNDP</w:t>
      </w:r>
    </w:p>
    <w:p w14:paraId="713F1F23" w14:textId="77777777" w:rsidR="00320ADC" w:rsidRPr="00320ADC" w:rsidRDefault="00320ADC" w:rsidP="00320ADC">
      <w:pPr>
        <w:pStyle w:val="ListParagraph"/>
        <w:numPr>
          <w:ilvl w:val="0"/>
          <w:numId w:val="30"/>
        </w:numPr>
        <w:suppressAutoHyphens w:val="0"/>
        <w:autoSpaceDN/>
        <w:contextualSpacing/>
        <w:textAlignment w:val="auto"/>
        <w:rPr>
          <w:lang w:val="en-GB"/>
        </w:rPr>
      </w:pPr>
      <w:r w:rsidRPr="00320ADC">
        <w:rPr>
          <w:lang w:val="en-GB"/>
        </w:rPr>
        <w:t>Grants with MFIs were closed and handover to another TA provider, IFC, was facilitated.</w:t>
      </w:r>
    </w:p>
    <w:p w14:paraId="1D9A8777" w14:textId="77777777" w:rsidR="00320ADC" w:rsidRPr="00320ADC" w:rsidRDefault="00320ADC" w:rsidP="00320ADC">
      <w:pPr>
        <w:pStyle w:val="ListParagraph"/>
        <w:numPr>
          <w:ilvl w:val="0"/>
          <w:numId w:val="30"/>
        </w:numPr>
        <w:suppressAutoHyphens w:val="0"/>
        <w:autoSpaceDN/>
        <w:contextualSpacing/>
        <w:textAlignment w:val="auto"/>
        <w:rPr>
          <w:lang w:val="en-GB"/>
        </w:rPr>
      </w:pPr>
      <w:r w:rsidRPr="00320ADC">
        <w:rPr>
          <w:lang w:val="en-GB"/>
        </w:rPr>
        <w:t>A mapping of Financial Services provision in the country was completed and shared with two Financial Services Sector Assessments.</w:t>
      </w:r>
    </w:p>
    <w:p w14:paraId="4C4B9C8C" w14:textId="77777777" w:rsidR="00706241" w:rsidRPr="00E814C1" w:rsidRDefault="00706241" w:rsidP="00E814C1">
      <w:pPr>
        <w:pStyle w:val="Heading2"/>
        <w:rPr>
          <w:b w:val="0"/>
          <w:bCs w:val="0"/>
          <w:iCs/>
          <w:sz w:val="24"/>
          <w:u w:val="single"/>
        </w:rPr>
      </w:pPr>
    </w:p>
    <w:p w14:paraId="0BC1892B" w14:textId="77777777" w:rsidR="002D15AE" w:rsidRPr="00E814C1" w:rsidRDefault="002D15AE" w:rsidP="002D15AE">
      <w:pPr>
        <w:pStyle w:val="Heading2"/>
        <w:rPr>
          <w:b w:val="0"/>
          <w:bCs w:val="0"/>
          <w:iCs/>
          <w:sz w:val="24"/>
          <w:u w:val="single"/>
        </w:rPr>
      </w:pPr>
      <w:bookmarkStart w:id="48" w:name="_Toc288468708"/>
      <w:bookmarkStart w:id="49" w:name="_Toc332631360"/>
      <w:bookmarkStart w:id="50" w:name="_Toc384220806"/>
      <w:r w:rsidRPr="00E814C1">
        <w:rPr>
          <w:b w:val="0"/>
          <w:bCs w:val="0"/>
          <w:iCs/>
          <w:sz w:val="24"/>
          <w:u w:val="single"/>
        </w:rPr>
        <w:t>Programme Implementation</w:t>
      </w:r>
      <w:bookmarkEnd w:id="48"/>
      <w:bookmarkEnd w:id="49"/>
      <w:bookmarkEnd w:id="50"/>
    </w:p>
    <w:p w14:paraId="1AB7F617" w14:textId="77777777" w:rsidR="002D15AE" w:rsidRPr="00E814C1" w:rsidRDefault="00E814C1" w:rsidP="002D15AE">
      <w:pPr>
        <w:jc w:val="both"/>
      </w:pPr>
      <w:r w:rsidRPr="00E814C1">
        <w:t>INFUSE wa</w:t>
      </w:r>
      <w:r w:rsidR="002D15AE" w:rsidRPr="00E814C1">
        <w:t>s an UNCDF-led programme implemented jointly with UNDP. UNDP</w:t>
      </w:r>
      <w:r w:rsidR="002D15AE" w:rsidRPr="00E814C1">
        <w:rPr>
          <w:rFonts w:ascii="Calibri" w:hAnsi="Calibri"/>
        </w:rPr>
        <w:t>‐</w:t>
      </w:r>
      <w:r w:rsidRPr="00E814C1">
        <w:t>Timor Leste, wa</w:t>
      </w:r>
      <w:r w:rsidR="002D15AE" w:rsidRPr="00E814C1">
        <w:t>s established in country with support units (HR, procurement, etc.) that the INFUSE Programme Implementation Uni</w:t>
      </w:r>
      <w:r w:rsidRPr="00E814C1">
        <w:t>t (PIU) accesses. UNCDF provided</w:t>
      </w:r>
      <w:r w:rsidR="002D15AE" w:rsidRPr="00E814C1">
        <w:t xml:space="preserve"> technical assistance and manages the programme. In order to harmonize funding and ensure effective co</w:t>
      </w:r>
      <w:r w:rsidR="002D15AE" w:rsidRPr="00E814C1">
        <w:rPr>
          <w:rFonts w:ascii="Calibri" w:hAnsi="Calibri"/>
        </w:rPr>
        <w:t>‐</w:t>
      </w:r>
      <w:r w:rsidR="002D15AE" w:rsidRPr="00E814C1">
        <w:t>ordination in programme implementation, both UNCDF a</w:t>
      </w:r>
      <w:r w:rsidRPr="00E814C1">
        <w:t>nd UNDP roles in the programme we</w:t>
      </w:r>
      <w:r w:rsidR="002D15AE" w:rsidRPr="00E814C1">
        <w:t xml:space="preserve">re outlined according to regulations defined by the 2003 UN Development Group Guidance Note on Joint </w:t>
      </w:r>
      <w:r w:rsidR="002D15AE" w:rsidRPr="00E814C1">
        <w:lastRenderedPageBreak/>
        <w:t xml:space="preserve">Programmeming with further clarification in the UNCDF-UNDP Guidance Note dated 2 November 2007. In the course of implementation of this programme, and in monitoring and reporting on progress, UNCDF, UNDP and other future associated UN agencies will collaborate according to these Joint Programme regulations and Standard Administrative Agreements already in place. </w:t>
      </w:r>
    </w:p>
    <w:p w14:paraId="1E687E10" w14:textId="77777777" w:rsidR="002D15AE" w:rsidRPr="00E814C1" w:rsidRDefault="002D15AE" w:rsidP="002D15AE">
      <w:pPr>
        <w:pStyle w:val="BodyText"/>
        <w:jc w:val="both"/>
        <w:rPr>
          <w:rFonts w:ascii="Times New Roman" w:hAnsi="Times New Roman" w:cs="Times New Roman"/>
          <w:sz w:val="24"/>
          <w:szCs w:val="24"/>
        </w:rPr>
      </w:pPr>
    </w:p>
    <w:p w14:paraId="29B8FE03" w14:textId="77777777" w:rsidR="002D15AE" w:rsidRPr="00E814C1" w:rsidRDefault="002D15AE" w:rsidP="002D15AE">
      <w:pPr>
        <w:pStyle w:val="BodyText"/>
        <w:jc w:val="both"/>
        <w:rPr>
          <w:rFonts w:ascii="Times New Roman" w:hAnsi="Times New Roman" w:cs="Times New Roman"/>
          <w:sz w:val="24"/>
          <w:szCs w:val="24"/>
        </w:rPr>
      </w:pPr>
      <w:r w:rsidRPr="00E814C1">
        <w:rPr>
          <w:rFonts w:ascii="Times New Roman" w:hAnsi="Times New Roman" w:cs="Times New Roman"/>
          <w:sz w:val="24"/>
          <w:szCs w:val="24"/>
        </w:rPr>
        <w:t>Although each of the implementing agencies have their own roles in the implementation of the Joint Programme as governed by these aforementioned guidance notes, e</w:t>
      </w:r>
      <w:r w:rsidR="00E814C1" w:rsidRPr="00E814C1">
        <w:rPr>
          <w:rFonts w:ascii="Times New Roman" w:hAnsi="Times New Roman" w:cs="Times New Roman"/>
          <w:sz w:val="24"/>
          <w:szCs w:val="24"/>
        </w:rPr>
        <w:t>ach of the agencies</w:t>
      </w:r>
      <w:r w:rsidRPr="00E814C1">
        <w:rPr>
          <w:rFonts w:ascii="Times New Roman" w:hAnsi="Times New Roman" w:cs="Times New Roman"/>
          <w:sz w:val="24"/>
          <w:szCs w:val="24"/>
        </w:rPr>
        <w:t xml:space="preserve"> agree</w:t>
      </w:r>
      <w:r w:rsidR="00E814C1" w:rsidRPr="00E814C1">
        <w:rPr>
          <w:rFonts w:ascii="Times New Roman" w:hAnsi="Times New Roman" w:cs="Times New Roman"/>
          <w:sz w:val="24"/>
          <w:szCs w:val="24"/>
        </w:rPr>
        <w:t>d</w:t>
      </w:r>
      <w:r w:rsidRPr="00E814C1">
        <w:rPr>
          <w:rFonts w:ascii="Times New Roman" w:hAnsi="Times New Roman" w:cs="Times New Roman"/>
          <w:sz w:val="24"/>
          <w:szCs w:val="24"/>
        </w:rPr>
        <w:t xml:space="preserve"> and unde</w:t>
      </w:r>
      <w:r w:rsidR="00E814C1" w:rsidRPr="00E814C1">
        <w:rPr>
          <w:rFonts w:ascii="Times New Roman" w:hAnsi="Times New Roman" w:cs="Times New Roman"/>
          <w:sz w:val="24"/>
          <w:szCs w:val="24"/>
        </w:rPr>
        <w:t>rstoo</w:t>
      </w:r>
      <w:r w:rsidRPr="00E814C1">
        <w:rPr>
          <w:rFonts w:ascii="Times New Roman" w:hAnsi="Times New Roman" w:cs="Times New Roman"/>
          <w:sz w:val="24"/>
          <w:szCs w:val="24"/>
        </w:rPr>
        <w:t>d that the administration of this programme shall be governed by UNDP rules and regulations, which UNCDF also adopts, as defined in the Resource Management Guide within the policy context defined by the Executive Board.</w:t>
      </w:r>
    </w:p>
    <w:p w14:paraId="38F57688" w14:textId="77777777" w:rsidR="002D15AE" w:rsidRPr="00E814C1" w:rsidRDefault="002D15AE" w:rsidP="002D15AE">
      <w:pPr>
        <w:pStyle w:val="BodyText"/>
        <w:jc w:val="both"/>
        <w:rPr>
          <w:rFonts w:ascii="Times New Roman" w:hAnsi="Times New Roman" w:cs="Times New Roman"/>
          <w:sz w:val="24"/>
          <w:szCs w:val="24"/>
        </w:rPr>
      </w:pPr>
    </w:p>
    <w:p w14:paraId="3BD11726" w14:textId="77777777" w:rsidR="002D15AE" w:rsidRPr="00E814C1" w:rsidRDefault="002D15AE" w:rsidP="002D15AE">
      <w:pPr>
        <w:pStyle w:val="BodyTextIndent"/>
        <w:ind w:left="0" w:firstLine="0"/>
        <w:jc w:val="both"/>
      </w:pPr>
      <w:r w:rsidRPr="00E814C1">
        <w:rPr>
          <w:rFonts w:ascii="Times New Roman" w:hAnsi="Times New Roman" w:cs="Times New Roman"/>
          <w:b w:val="0"/>
          <w:sz w:val="24"/>
          <w:szCs w:val="24"/>
        </w:rPr>
        <w:t>The MCIF, comprising donors to the Programme oversees the INFUSE Fund for Inclusive Finance.  The MCIF meets biannually to approve funding of specific activities that promote inclusive finance through using a variety of funding mechanisms including grants, loans, and direct procur</w:t>
      </w:r>
      <w:r w:rsidR="00005995" w:rsidRPr="00E814C1">
        <w:rPr>
          <w:rFonts w:ascii="Times New Roman" w:hAnsi="Times New Roman" w:cs="Times New Roman"/>
          <w:b w:val="0"/>
          <w:sz w:val="24"/>
          <w:szCs w:val="24"/>
        </w:rPr>
        <w:t>e</w:t>
      </w:r>
      <w:r w:rsidRPr="00E814C1">
        <w:rPr>
          <w:rFonts w:ascii="Times New Roman" w:hAnsi="Times New Roman" w:cs="Times New Roman"/>
          <w:b w:val="0"/>
          <w:sz w:val="24"/>
          <w:szCs w:val="24"/>
        </w:rPr>
        <w:t>ment of technical assistance.  This flexibility allows the PIU to accept proposals, develop partnerships, and identify needs for targeted technical assistance.  It engages the MCIF to evaluate and provide feedback on programme activities. The chair of the MCIF assigned by the 5</w:t>
      </w:r>
      <w:r w:rsidRPr="00E814C1">
        <w:rPr>
          <w:rFonts w:ascii="Times New Roman" w:hAnsi="Times New Roman" w:cs="Times New Roman"/>
          <w:b w:val="0"/>
          <w:sz w:val="24"/>
          <w:szCs w:val="24"/>
          <w:vertAlign w:val="superscript"/>
        </w:rPr>
        <w:t>th</w:t>
      </w:r>
      <w:r w:rsidRPr="00E814C1">
        <w:rPr>
          <w:rFonts w:ascii="Times New Roman" w:hAnsi="Times New Roman" w:cs="Times New Roman"/>
          <w:b w:val="0"/>
          <w:sz w:val="24"/>
          <w:szCs w:val="24"/>
        </w:rPr>
        <w:t xml:space="preserve"> constitutional Government is the Ministry of Commerce, Industry and Environment (MCIE).</w:t>
      </w:r>
    </w:p>
    <w:p w14:paraId="5F71DB2E" w14:textId="77777777" w:rsidR="002D15AE" w:rsidRPr="00E814C1" w:rsidRDefault="002D15AE" w:rsidP="002D15AE">
      <w:pPr>
        <w:pStyle w:val="Heading2"/>
        <w:rPr>
          <w:b w:val="0"/>
          <w:bCs w:val="0"/>
          <w:i/>
          <w:iCs/>
          <w:sz w:val="24"/>
        </w:rPr>
      </w:pPr>
    </w:p>
    <w:p w14:paraId="2DF24D67" w14:textId="77777777" w:rsidR="002D15AE" w:rsidRPr="00E814C1" w:rsidRDefault="002D15AE" w:rsidP="002D15AE">
      <w:pPr>
        <w:pStyle w:val="Heading2"/>
        <w:rPr>
          <w:b w:val="0"/>
          <w:bCs w:val="0"/>
          <w:iCs/>
          <w:sz w:val="24"/>
          <w:u w:val="single"/>
        </w:rPr>
      </w:pPr>
      <w:bookmarkStart w:id="51" w:name="_Toc288468709"/>
      <w:bookmarkStart w:id="52" w:name="_Toc332631361"/>
      <w:bookmarkStart w:id="53" w:name="_Toc384220807"/>
      <w:r w:rsidRPr="00E814C1">
        <w:rPr>
          <w:b w:val="0"/>
          <w:bCs w:val="0"/>
          <w:iCs/>
          <w:sz w:val="24"/>
          <w:u w:val="single"/>
        </w:rPr>
        <w:t>Monitoring and Evaluation</w:t>
      </w:r>
      <w:bookmarkEnd w:id="51"/>
      <w:bookmarkEnd w:id="52"/>
      <w:bookmarkEnd w:id="53"/>
    </w:p>
    <w:p w14:paraId="43902C27" w14:textId="77777777" w:rsidR="002D15AE" w:rsidRPr="00E814C1" w:rsidRDefault="00E814C1" w:rsidP="002D15AE">
      <w:pPr>
        <w:pStyle w:val="BodyText"/>
        <w:jc w:val="both"/>
        <w:rPr>
          <w:rFonts w:ascii="Times New Roman" w:hAnsi="Times New Roman" w:cs="Times New Roman"/>
          <w:sz w:val="24"/>
          <w:szCs w:val="24"/>
        </w:rPr>
      </w:pPr>
      <w:r w:rsidRPr="00E814C1">
        <w:rPr>
          <w:rFonts w:ascii="Times New Roman" w:hAnsi="Times New Roman" w:cs="Times New Roman"/>
          <w:sz w:val="24"/>
          <w:szCs w:val="24"/>
        </w:rPr>
        <w:t>Monitoring wa</w:t>
      </w:r>
      <w:r w:rsidR="002D15AE" w:rsidRPr="00E814C1">
        <w:rPr>
          <w:rFonts w:ascii="Times New Roman" w:hAnsi="Times New Roman" w:cs="Times New Roman"/>
          <w:sz w:val="24"/>
          <w:szCs w:val="24"/>
        </w:rPr>
        <w:t xml:space="preserve">s conducted at </w:t>
      </w:r>
      <w:r w:rsidRPr="00E814C1">
        <w:rPr>
          <w:rFonts w:ascii="Times New Roman" w:hAnsi="Times New Roman" w:cs="Times New Roman"/>
          <w:sz w:val="24"/>
          <w:szCs w:val="24"/>
        </w:rPr>
        <w:t>two levels: programme progress wa</w:t>
      </w:r>
      <w:r w:rsidR="002D15AE" w:rsidRPr="00E814C1">
        <w:rPr>
          <w:rFonts w:ascii="Times New Roman" w:hAnsi="Times New Roman" w:cs="Times New Roman"/>
          <w:sz w:val="24"/>
          <w:szCs w:val="24"/>
        </w:rPr>
        <w:t xml:space="preserve">s monitored by UNCDF, UNDP and the MCIF; and the PIU monitors progress of partners and activities. The following monitoring mechanisms are in place: </w:t>
      </w:r>
    </w:p>
    <w:p w14:paraId="0CFAB5CE" w14:textId="77777777" w:rsidR="002D15AE" w:rsidRPr="00E814C1" w:rsidRDefault="002D15AE" w:rsidP="002D15AE">
      <w:pPr>
        <w:numPr>
          <w:ilvl w:val="0"/>
          <w:numId w:val="11"/>
        </w:numPr>
        <w:tabs>
          <w:tab w:val="left" w:pos="360"/>
        </w:tabs>
        <w:suppressAutoHyphens w:val="0"/>
        <w:autoSpaceDE w:val="0"/>
        <w:ind w:left="360"/>
        <w:jc w:val="both"/>
        <w:textAlignment w:val="auto"/>
      </w:pPr>
      <w:r w:rsidRPr="00E814C1">
        <w:rPr>
          <w:lang w:eastAsia="ja-JP"/>
        </w:rPr>
        <w:t>On a biannual basis, programme progress is reported against the annual work</w:t>
      </w:r>
      <w:r w:rsidR="00E814C1" w:rsidRPr="00E814C1">
        <w:rPr>
          <w:lang w:eastAsia="ja-JP"/>
        </w:rPr>
        <w:t xml:space="preserve"> </w:t>
      </w:r>
      <w:r w:rsidRPr="00E814C1">
        <w:rPr>
          <w:lang w:eastAsia="ja-JP"/>
        </w:rPr>
        <w:t xml:space="preserve">plan and baseline indicators. Implementation and management challenges and issues are identified in these consolidated reports. These reports, which includes a narrative and financial component, is prepared and shared with INFUSE donors and contains information on the achievements, challenges and lessons learned during the year. </w:t>
      </w:r>
    </w:p>
    <w:p w14:paraId="091D46F4" w14:textId="77777777" w:rsidR="002D15AE" w:rsidRPr="00E814C1" w:rsidRDefault="002D15AE" w:rsidP="002D15AE">
      <w:pPr>
        <w:numPr>
          <w:ilvl w:val="0"/>
          <w:numId w:val="11"/>
        </w:numPr>
        <w:tabs>
          <w:tab w:val="left" w:pos="360"/>
        </w:tabs>
        <w:suppressAutoHyphens w:val="0"/>
        <w:autoSpaceDE w:val="0"/>
        <w:ind w:left="360"/>
        <w:jc w:val="both"/>
        <w:textAlignment w:val="auto"/>
      </w:pPr>
      <w:r w:rsidRPr="00E814C1">
        <w:rPr>
          <w:lang w:eastAsia="ja-JP"/>
        </w:rPr>
        <w:t>The MCIF is responsible for monitoring programme progress at its bi-annual meetings convened</w:t>
      </w:r>
      <w:r w:rsidR="00E814C1" w:rsidRPr="00E814C1">
        <w:rPr>
          <w:lang w:eastAsia="ja-JP"/>
        </w:rPr>
        <w:t xml:space="preserve"> generally </w:t>
      </w:r>
      <w:r w:rsidRPr="00E814C1">
        <w:rPr>
          <w:lang w:eastAsia="ja-JP"/>
        </w:rPr>
        <w:t xml:space="preserve">in May and in September. </w:t>
      </w:r>
    </w:p>
    <w:p w14:paraId="4337AB13" w14:textId="77777777" w:rsidR="002D15AE" w:rsidRPr="00E814C1" w:rsidRDefault="00E814C1" w:rsidP="002D15AE">
      <w:pPr>
        <w:numPr>
          <w:ilvl w:val="0"/>
          <w:numId w:val="11"/>
        </w:numPr>
        <w:tabs>
          <w:tab w:val="left" w:pos="360"/>
        </w:tabs>
        <w:suppressAutoHyphens w:val="0"/>
        <w:autoSpaceDE w:val="0"/>
        <w:ind w:left="360"/>
        <w:jc w:val="both"/>
        <w:textAlignment w:val="auto"/>
      </w:pPr>
      <w:r w:rsidRPr="00E814C1">
        <w:rPr>
          <w:lang w:eastAsia="ja-JP"/>
        </w:rPr>
        <w:t>The INFUSE PIU monitored</w:t>
      </w:r>
      <w:r w:rsidR="002D15AE" w:rsidRPr="00E814C1">
        <w:rPr>
          <w:lang w:eastAsia="ja-JP"/>
        </w:rPr>
        <w:t xml:space="preserve"> recipients of grant funding and loan capital against specific targets, disbursement conditions and reporting requirements outlined in the Performance Based Agreements (PBAs) with FSPs and Technical Service Providers (TSPs).  All supported FSPs report</w:t>
      </w:r>
      <w:r w:rsidRPr="00E814C1">
        <w:rPr>
          <w:lang w:eastAsia="ja-JP"/>
        </w:rPr>
        <w:t>ed</w:t>
      </w:r>
      <w:r w:rsidR="002D15AE" w:rsidRPr="00E814C1">
        <w:rPr>
          <w:lang w:eastAsia="ja-JP"/>
        </w:rPr>
        <w:t xml:space="preserve"> on a quarterly basis adhering to the UNCDF standard requirements and formats for Inclusive Finance.</w:t>
      </w:r>
    </w:p>
    <w:p w14:paraId="49AAC6BA" w14:textId="77777777" w:rsidR="002D15AE" w:rsidRPr="00E814C1" w:rsidRDefault="002D15AE" w:rsidP="002D15AE">
      <w:pPr>
        <w:numPr>
          <w:ilvl w:val="0"/>
          <w:numId w:val="12"/>
        </w:numPr>
        <w:tabs>
          <w:tab w:val="left" w:pos="360"/>
        </w:tabs>
        <w:suppressAutoHyphens w:val="0"/>
        <w:autoSpaceDE w:val="0"/>
        <w:ind w:left="360"/>
        <w:jc w:val="both"/>
        <w:textAlignment w:val="auto"/>
        <w:rPr>
          <w:lang w:eastAsia="ja-JP"/>
        </w:rPr>
      </w:pPr>
      <w:r w:rsidRPr="00E814C1">
        <w:rPr>
          <w:lang w:eastAsia="ja-JP"/>
        </w:rPr>
        <w:t xml:space="preserve">The mid-term evaluation of INFUSE took place in August 2010 with its report finalized in May 2011. Progress against the recommendations given in the evaluation were incorporated into reporting to the MCIF and the annual work plan for 2012. </w:t>
      </w:r>
    </w:p>
    <w:p w14:paraId="3796AAB5" w14:textId="77777777" w:rsidR="002D15AE" w:rsidRPr="00D14030" w:rsidRDefault="002D15AE">
      <w:pPr>
        <w:suppressAutoHyphens w:val="0"/>
        <w:autoSpaceDN/>
        <w:textAlignment w:val="auto"/>
        <w:rPr>
          <w:color w:val="9CC2E5" w:themeColor="accent1" w:themeTint="99"/>
          <w:highlight w:val="yellow"/>
        </w:rPr>
      </w:pPr>
      <w:r w:rsidRPr="00D14030">
        <w:rPr>
          <w:color w:val="9CC2E5" w:themeColor="accent1" w:themeTint="99"/>
          <w:highlight w:val="yellow"/>
        </w:rPr>
        <w:br w:type="page"/>
      </w:r>
    </w:p>
    <w:p w14:paraId="2A1FB321" w14:textId="77777777" w:rsidR="002D15AE" w:rsidRPr="00D14030" w:rsidRDefault="002D15AE" w:rsidP="002D15AE">
      <w:pPr>
        <w:suppressAutoHyphens w:val="0"/>
        <w:autoSpaceDN/>
        <w:textAlignment w:val="auto"/>
        <w:rPr>
          <w:color w:val="9CC2E5" w:themeColor="accent1" w:themeTint="99"/>
          <w:highlight w:val="yellow"/>
        </w:rPr>
        <w:sectPr w:rsidR="002D15AE" w:rsidRPr="00D14030" w:rsidSect="002D15AE">
          <w:footerReference w:type="default" r:id="rId15"/>
          <w:pgSz w:w="12240" w:h="15840"/>
          <w:pgMar w:top="1296" w:right="720" w:bottom="144" w:left="634" w:header="720" w:footer="720" w:gutter="0"/>
          <w:cols w:space="720"/>
          <w:docGrid w:linePitch="326"/>
        </w:sectPr>
      </w:pPr>
    </w:p>
    <w:p w14:paraId="1D27B682" w14:textId="77777777" w:rsidR="00B30F8A" w:rsidRPr="00D14030" w:rsidRDefault="00B30F8A" w:rsidP="002D15AE">
      <w:pPr>
        <w:suppressAutoHyphens w:val="0"/>
        <w:autoSpaceDN/>
        <w:textAlignment w:val="auto"/>
        <w:rPr>
          <w:color w:val="9CC2E5" w:themeColor="accent1" w:themeTint="99"/>
          <w:highlight w:val="yellow"/>
        </w:rPr>
      </w:pPr>
    </w:p>
    <w:p w14:paraId="17915193" w14:textId="77777777" w:rsidR="00B30F8A" w:rsidRPr="00316077" w:rsidRDefault="001531D3" w:rsidP="005F3E9B">
      <w:pPr>
        <w:pStyle w:val="Heading1"/>
        <w:tabs>
          <w:tab w:val="left" w:pos="360"/>
        </w:tabs>
        <w:suppressAutoHyphens w:val="0"/>
        <w:ind w:left="360"/>
        <w:jc w:val="left"/>
        <w:textAlignment w:val="auto"/>
        <w:rPr>
          <w:rFonts w:ascii="Times New Roman" w:hAnsi="Times New Roman"/>
          <w:sz w:val="24"/>
          <w:szCs w:val="24"/>
        </w:rPr>
      </w:pPr>
      <w:bookmarkStart w:id="54" w:name="_Toc384220801"/>
      <w:r w:rsidRPr="00316077">
        <w:rPr>
          <w:rFonts w:ascii="Times New Roman" w:hAnsi="Times New Roman"/>
          <w:sz w:val="24"/>
          <w:szCs w:val="24"/>
        </w:rPr>
        <w:t>I</w:t>
      </w:r>
      <w:r w:rsidR="00B30F8A" w:rsidRPr="00316077">
        <w:rPr>
          <w:rFonts w:ascii="Times New Roman" w:hAnsi="Times New Roman"/>
          <w:sz w:val="24"/>
          <w:szCs w:val="24"/>
        </w:rPr>
        <w:t>NDICATOR BASED PERFORMANCE ASSESSMENT</w:t>
      </w:r>
      <w:bookmarkEnd w:id="54"/>
    </w:p>
    <w:p w14:paraId="3CF33EA8" w14:textId="77777777" w:rsidR="00B30F8A" w:rsidRPr="00316077" w:rsidRDefault="00B30F8A" w:rsidP="005F3E9B"/>
    <w:p w14:paraId="5AB78D18" w14:textId="77777777" w:rsidR="00B30F8A" w:rsidRPr="00316077" w:rsidRDefault="00B30F8A" w:rsidP="00B30F8A">
      <w:pPr>
        <w:pStyle w:val="BodyText"/>
        <w:widowControl w:val="0"/>
        <w:ind w:left="426"/>
        <w:jc w:val="both"/>
      </w:pPr>
      <w:r w:rsidRPr="00316077">
        <w:rPr>
          <w:rFonts w:ascii="Times New Roman" w:hAnsi="Times New Roman" w:cs="Times New Roman"/>
          <w:b/>
          <w:sz w:val="24"/>
          <w:szCs w:val="24"/>
          <w:lang w:eastAsia="ja-JP"/>
        </w:rPr>
        <w:t xml:space="preserve">NOTE: based on the final mid-term evaluation, revisions to some INFUSE programme indicators, targets and activities were suggested at the May MCIF meeting. The indicators presented below are the revised ones approved at the September 2011 meeting. </w:t>
      </w:r>
    </w:p>
    <w:p w14:paraId="4EACB84C" w14:textId="77777777" w:rsidR="00B30F8A" w:rsidRPr="00316077" w:rsidRDefault="00B30F8A" w:rsidP="00B30F8A">
      <w:pPr>
        <w:pStyle w:val="BodyText"/>
        <w:tabs>
          <w:tab w:val="left" w:pos="360"/>
        </w:tabs>
        <w:jc w:val="both"/>
        <w:rPr>
          <w:rFonts w:ascii="Times New Roman" w:hAnsi="Times New Roman" w:cs="Times New Roman"/>
          <w:sz w:val="24"/>
          <w:szCs w:val="24"/>
        </w:rPr>
      </w:pPr>
    </w:p>
    <w:tbl>
      <w:tblPr>
        <w:tblW w:w="13649" w:type="dxa"/>
        <w:tblInd w:w="613" w:type="dxa"/>
        <w:tblLayout w:type="fixed"/>
        <w:tblCellMar>
          <w:left w:w="10" w:type="dxa"/>
          <w:right w:w="10" w:type="dxa"/>
        </w:tblCellMar>
        <w:tblLook w:val="0000" w:firstRow="0" w:lastRow="0" w:firstColumn="0" w:lastColumn="0" w:noHBand="0" w:noVBand="0"/>
      </w:tblPr>
      <w:tblGrid>
        <w:gridCol w:w="2160"/>
        <w:gridCol w:w="766"/>
        <w:gridCol w:w="1843"/>
        <w:gridCol w:w="1680"/>
        <w:gridCol w:w="4320"/>
        <w:gridCol w:w="2880"/>
      </w:tblGrid>
      <w:tr w:rsidR="00B30F8A" w:rsidRPr="00316077" w14:paraId="111E8FDE" w14:textId="77777777" w:rsidTr="00475F7F">
        <w:trPr>
          <w:trHeight w:val="298"/>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708A3" w14:textId="77777777" w:rsidR="00B30F8A" w:rsidRPr="00316077" w:rsidRDefault="00B30F8A" w:rsidP="00475F7F">
            <w:r w:rsidRPr="00316077">
              <w:rPr>
                <w:b/>
                <w:bCs/>
                <w:sz w:val="20"/>
                <w:szCs w:val="20"/>
              </w:rPr>
              <w:t>Expected Outcome</w:t>
            </w:r>
          </w:p>
        </w:tc>
        <w:tc>
          <w:tcPr>
            <w:tcW w:w="11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32491" w14:textId="77777777" w:rsidR="00B30F8A" w:rsidRPr="00316077" w:rsidRDefault="00B30F8A" w:rsidP="00475F7F">
            <w:pPr>
              <w:jc w:val="center"/>
            </w:pPr>
            <w:r w:rsidRPr="00316077">
              <w:rPr>
                <w:b/>
                <w:sz w:val="20"/>
                <w:szCs w:val="20"/>
                <w:lang w:val="en-GB"/>
              </w:rPr>
              <w:t>Vulnerable groups will have improved access to sustainable financial services.</w:t>
            </w:r>
          </w:p>
        </w:tc>
      </w:tr>
      <w:tr w:rsidR="00B30F8A" w:rsidRPr="00316077" w14:paraId="49095504" w14:textId="77777777" w:rsidTr="00475F7F">
        <w:trPr>
          <w:trHeight w:val="548"/>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1EC2C" w14:textId="77777777" w:rsidR="00B30F8A" w:rsidRPr="00316077" w:rsidRDefault="00B30F8A" w:rsidP="00475F7F">
            <w:pPr>
              <w:rPr>
                <w:b/>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E3A7C" w14:textId="77777777" w:rsidR="00B30F8A" w:rsidRPr="00316077" w:rsidRDefault="00B30F8A" w:rsidP="00316077">
            <w:pPr>
              <w:jc w:val="center"/>
              <w:rPr>
                <w:b/>
                <w:sz w:val="16"/>
                <w:szCs w:val="20"/>
              </w:rPr>
            </w:pPr>
            <w:r w:rsidRPr="00316077">
              <w:rPr>
                <w:b/>
                <w:sz w:val="16"/>
                <w:szCs w:val="20"/>
              </w:rPr>
              <w:t>Perfor</w:t>
            </w:r>
            <w:r w:rsidRPr="00316077">
              <w:rPr>
                <w:b/>
                <w:sz w:val="16"/>
                <w:szCs w:val="20"/>
              </w:rPr>
              <w:softHyphen/>
              <w:t>mance</w:t>
            </w:r>
          </w:p>
          <w:p w14:paraId="77269377" w14:textId="77777777" w:rsidR="00B30F8A" w:rsidRPr="00316077" w:rsidRDefault="00B30F8A" w:rsidP="00316077">
            <w:pPr>
              <w:ind w:left="-79" w:right="-147"/>
              <w:jc w:val="center"/>
            </w:pPr>
            <w:r w:rsidRPr="00316077">
              <w:rPr>
                <w:b/>
                <w:sz w:val="16"/>
                <w:szCs w:val="20"/>
              </w:rPr>
              <w:t>Indicators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43624" w14:textId="77777777" w:rsidR="00B30F8A" w:rsidRPr="00316077" w:rsidRDefault="00B30F8A" w:rsidP="00316077">
            <w:pPr>
              <w:jc w:val="center"/>
            </w:pPr>
            <w:r w:rsidRPr="00316077">
              <w:rPr>
                <w:b/>
                <w:sz w:val="20"/>
                <w:szCs w:val="20"/>
              </w:rPr>
              <w:t>Planned Indicator Targets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DCAEF" w14:textId="77777777" w:rsidR="00B30F8A" w:rsidRPr="00316077" w:rsidRDefault="00B30F8A" w:rsidP="00316077">
            <w:pPr>
              <w:pStyle w:val="Bulletlevel1"/>
              <w:numPr>
                <w:ilvl w:val="0"/>
                <w:numId w:val="0"/>
              </w:numPr>
              <w:ind w:left="-39" w:hanging="360"/>
              <w:jc w:val="center"/>
            </w:pPr>
            <w:r w:rsidRPr="00316077">
              <w:rPr>
                <w:rFonts w:ascii="Times New Roman" w:hAnsi="Times New Roman"/>
                <w:b/>
                <w:sz w:val="20"/>
                <w:szCs w:val="20"/>
              </w:rPr>
              <w:t>Achieved Indicator Targets</w:t>
            </w:r>
            <w:r w:rsidR="00316077">
              <w:rPr>
                <w:rFonts w:ascii="Times New Roman" w:hAnsi="Times New Roman"/>
                <w:b/>
                <w:sz w:val="20"/>
                <w:szCs w:val="20"/>
              </w:rPr>
              <w:t>?</w:t>
            </w:r>
          </w:p>
          <w:p w14:paraId="3DEF1415" w14:textId="77777777" w:rsidR="00B30F8A" w:rsidRPr="00316077" w:rsidRDefault="00B30F8A" w:rsidP="00316077">
            <w:pPr>
              <w:pStyle w:val="Bulletlevel1"/>
              <w:numPr>
                <w:ilvl w:val="0"/>
                <w:numId w:val="0"/>
              </w:numPr>
              <w:ind w:left="360" w:hanging="360"/>
              <w:jc w:val="center"/>
              <w:rPr>
                <w:rFonts w:ascii="Times New Roman" w:hAnsi="Times New Roman"/>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23AA1" w14:textId="77777777" w:rsidR="00B30F8A" w:rsidRPr="00316077" w:rsidRDefault="00B30F8A" w:rsidP="00316077">
            <w:pPr>
              <w:jc w:val="center"/>
            </w:pPr>
            <w:r w:rsidRPr="00316077">
              <w:rPr>
                <w:b/>
                <w:sz w:val="20"/>
                <w:szCs w:val="20"/>
              </w:rPr>
              <w:t>Progress to date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FF386" w14:textId="77777777" w:rsidR="00B30F8A" w:rsidRPr="00316077" w:rsidRDefault="00B30F8A" w:rsidP="00316077">
            <w:pPr>
              <w:jc w:val="center"/>
              <w:rPr>
                <w:b/>
                <w:sz w:val="20"/>
                <w:szCs w:val="20"/>
              </w:rPr>
            </w:pPr>
            <w:r w:rsidRPr="00316077">
              <w:rPr>
                <w:b/>
                <w:sz w:val="20"/>
                <w:szCs w:val="20"/>
              </w:rPr>
              <w:t>Reasons for Variance</w:t>
            </w:r>
          </w:p>
          <w:p w14:paraId="7C5E4EFE" w14:textId="77777777" w:rsidR="00B30F8A" w:rsidRPr="00316077" w:rsidRDefault="00B30F8A" w:rsidP="00316077">
            <w:pPr>
              <w:jc w:val="center"/>
            </w:pPr>
            <w:r w:rsidRPr="00316077">
              <w:rPr>
                <w:b/>
                <w:sz w:val="20"/>
                <w:szCs w:val="20"/>
              </w:rPr>
              <w:t>(if any)</w:t>
            </w:r>
          </w:p>
        </w:tc>
      </w:tr>
      <w:tr w:rsidR="00B30F8A" w:rsidRPr="00316077" w14:paraId="3B74830B" w14:textId="77777777" w:rsidTr="00475F7F">
        <w:trPr>
          <w:trHeight w:val="548"/>
        </w:trPr>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F6647" w14:textId="77777777" w:rsidR="00B30F8A" w:rsidRPr="00316077" w:rsidRDefault="00B30F8A" w:rsidP="00475F7F">
            <w:pPr>
              <w:rPr>
                <w:b/>
                <w:sz w:val="20"/>
                <w:szCs w:val="20"/>
              </w:rPr>
            </w:pPr>
            <w:r w:rsidRPr="00316077">
              <w:rPr>
                <w:b/>
                <w:sz w:val="20"/>
                <w:szCs w:val="20"/>
              </w:rPr>
              <w:t>Output 1</w:t>
            </w:r>
          </w:p>
          <w:p w14:paraId="17D373E2" w14:textId="77777777" w:rsidR="00B30F8A" w:rsidRPr="00316077" w:rsidRDefault="00B30F8A" w:rsidP="00475F7F">
            <w:pPr>
              <w:pStyle w:val="BodyText3"/>
              <w:spacing w:before="120"/>
            </w:pPr>
            <w:r w:rsidRPr="00316077">
              <w:rPr>
                <w:b/>
                <w:bCs/>
                <w:sz w:val="20"/>
                <w:szCs w:val="20"/>
              </w:rPr>
              <w:t>A coherent GoTL policy framework for Inclusive Finance</w:t>
            </w:r>
          </w:p>
          <w:p w14:paraId="26116086" w14:textId="77777777" w:rsidR="00B30F8A" w:rsidRPr="00316077" w:rsidRDefault="00B30F8A" w:rsidP="00475F7F">
            <w:r w:rsidRPr="00316077">
              <w:rPr>
                <w:sz w:val="20"/>
                <w:szCs w:val="20"/>
              </w:rPr>
              <w:t>A national policy statement for inclusive finance is developed, consulted and adopted by GoTL, and enabling legislation is in place to support the expansion and consolidation of the financial sector. Coherent, effective and synergetic donor funding based on the national policy framework has been provided.</w:t>
            </w:r>
          </w:p>
          <w:p w14:paraId="03B0A9BC" w14:textId="77777777" w:rsidR="00B30F8A" w:rsidRPr="00316077" w:rsidRDefault="00B30F8A" w:rsidP="00475F7F">
            <w:pPr>
              <w:rPr>
                <w:sz w:val="20"/>
                <w:szCs w:val="20"/>
                <w:lang w:val="en-GB"/>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C357D" w14:textId="77777777" w:rsidR="00B30F8A" w:rsidRPr="00316077" w:rsidRDefault="00B30F8A" w:rsidP="00475F7F">
            <w:pPr>
              <w:ind w:right="-34"/>
              <w:jc w:val="both"/>
              <w:rPr>
                <w:sz w:val="20"/>
                <w:szCs w:val="20"/>
              </w:rPr>
            </w:pPr>
            <w:r w:rsidRPr="00316077">
              <w:rPr>
                <w:sz w:val="20"/>
                <w:szCs w:val="20"/>
              </w:rPr>
              <w:t>Indicator  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CCBFB" w14:textId="77777777" w:rsidR="00B30F8A" w:rsidRPr="00316077" w:rsidRDefault="00B30F8A" w:rsidP="00475F7F">
            <w:pPr>
              <w:ind w:right="-200"/>
              <w:rPr>
                <w:sz w:val="20"/>
                <w:szCs w:val="20"/>
              </w:rPr>
            </w:pPr>
            <w:r w:rsidRPr="00316077">
              <w:rPr>
                <w:sz w:val="20"/>
                <w:szCs w:val="20"/>
              </w:rPr>
              <w:t>A Policy Statement on goals, strategies and priorities for Financial sub-sector development is adopted by GoTL (Y1)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A58A4" w14:textId="77777777" w:rsidR="00B30F8A" w:rsidRPr="00316077" w:rsidRDefault="00316077" w:rsidP="00316077">
            <w:pPr>
              <w:pStyle w:val="Bulletlevel1"/>
              <w:numPr>
                <w:ilvl w:val="0"/>
                <w:numId w:val="0"/>
              </w:numPr>
              <w:tabs>
                <w:tab w:val="left" w:pos="145"/>
              </w:tabs>
              <w:ind w:left="145"/>
            </w:pPr>
            <w:r>
              <w:rPr>
                <w:rFonts w:ascii="Times New Roman" w:hAnsi="Times New Roman"/>
                <w:sz w:val="20"/>
                <w:szCs w:val="20"/>
              </w:rPr>
              <w:t>Partially</w:t>
            </w:r>
          </w:p>
          <w:p w14:paraId="1B675A2E" w14:textId="77777777" w:rsidR="00B30F8A" w:rsidRPr="00316077" w:rsidRDefault="00B30F8A" w:rsidP="00475F7F">
            <w:pPr>
              <w:pStyle w:val="Bulletlevel1"/>
              <w:numPr>
                <w:ilvl w:val="0"/>
                <w:numId w:val="0"/>
              </w:numPr>
              <w:ind w:left="-39" w:hanging="360"/>
              <w:rPr>
                <w:rFonts w:ascii="Times New Roman" w:hAnsi="Times New Roman"/>
                <w:sz w:val="20"/>
                <w:szCs w:val="20"/>
              </w:rPr>
            </w:pPr>
          </w:p>
          <w:p w14:paraId="66FB5EF1" w14:textId="77777777" w:rsidR="00B30F8A" w:rsidRPr="00316077" w:rsidRDefault="00B30F8A" w:rsidP="00475F7F">
            <w:pPr>
              <w:pStyle w:val="Bulletlevel1"/>
              <w:tabs>
                <w:tab w:val="left" w:pos="145"/>
              </w:tabs>
              <w:ind w:left="145" w:hanging="184"/>
            </w:pPr>
            <w:r w:rsidRPr="00316077">
              <w:rPr>
                <w:rFonts w:ascii="Times New Roman" w:hAnsi="Times New Roman"/>
                <w:sz w:val="20"/>
                <w:szCs w:val="20"/>
              </w:rPr>
              <w:t xml:space="preserve">Enabling regulation for microfinance activities, developed with support from technical consultant procured by INFUSE, was approved in December 2010. </w:t>
            </w:r>
          </w:p>
          <w:p w14:paraId="54762149" w14:textId="77777777" w:rsidR="00B30F8A" w:rsidRPr="00316077" w:rsidRDefault="00B30F8A" w:rsidP="00475F7F">
            <w:pPr>
              <w:pStyle w:val="Bulletlevel1"/>
              <w:numPr>
                <w:ilvl w:val="0"/>
                <w:numId w:val="0"/>
              </w:numPr>
              <w:ind w:left="360" w:hanging="360"/>
              <w:rPr>
                <w:rFonts w:ascii="Times New Roman" w:hAnsi="Times New Roman"/>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7D046" w14:textId="77777777" w:rsidR="00B30F8A" w:rsidRPr="00316077" w:rsidRDefault="00B30F8A" w:rsidP="00475F7F">
            <w:pPr>
              <w:pStyle w:val="Bulletlevel1"/>
              <w:tabs>
                <w:tab w:val="left" w:pos="145"/>
              </w:tabs>
              <w:ind w:left="145" w:hanging="184"/>
              <w:rPr>
                <w:rFonts w:ascii="Times New Roman" w:hAnsi="Times New Roman"/>
                <w:sz w:val="20"/>
                <w:szCs w:val="20"/>
              </w:rPr>
            </w:pPr>
            <w:r w:rsidRPr="00316077">
              <w:rPr>
                <w:rFonts w:ascii="Times New Roman" w:hAnsi="Times New Roman"/>
                <w:sz w:val="20"/>
                <w:szCs w:val="20"/>
              </w:rPr>
              <w:t xml:space="preserve">INFUSE advocacy has focused on establishing participation of relevant government ministries and agencies, through collaboration with the MoED, the BCTL and stakeholders in the GoTL, as follows. </w:t>
            </w:r>
          </w:p>
          <w:p w14:paraId="222DF6B5" w14:textId="77777777" w:rsidR="00B30F8A" w:rsidRPr="00316077" w:rsidRDefault="00B30F8A" w:rsidP="00475F7F">
            <w:pPr>
              <w:pStyle w:val="Bulletlevel1"/>
              <w:tabs>
                <w:tab w:val="left" w:pos="145"/>
              </w:tabs>
              <w:ind w:left="145" w:hanging="184"/>
              <w:rPr>
                <w:rFonts w:ascii="Times New Roman" w:hAnsi="Times New Roman"/>
                <w:sz w:val="20"/>
                <w:szCs w:val="20"/>
              </w:rPr>
            </w:pPr>
            <w:r w:rsidRPr="00316077">
              <w:rPr>
                <w:rFonts w:ascii="Times New Roman" w:hAnsi="Times New Roman"/>
                <w:sz w:val="20"/>
                <w:szCs w:val="20"/>
              </w:rPr>
              <w:t xml:space="preserve">The Ministry of Commerce (MCIE) chairs the the MCIF. The BCTL also participates as an observer in the MCIF. From 2013, the Ministry of Finance and the Secretary of State for Private Sector Development have participated to the MCIF as observers. </w:t>
            </w:r>
          </w:p>
          <w:p w14:paraId="585E3919" w14:textId="77777777" w:rsidR="00B30F8A" w:rsidRPr="00316077" w:rsidRDefault="00B30F8A" w:rsidP="00475F7F">
            <w:pPr>
              <w:pStyle w:val="Bulletlevel1"/>
              <w:tabs>
                <w:tab w:val="left" w:pos="145"/>
              </w:tabs>
              <w:ind w:left="145" w:hanging="184"/>
              <w:rPr>
                <w:rFonts w:ascii="Times New Roman" w:hAnsi="Times New Roman"/>
                <w:sz w:val="20"/>
                <w:szCs w:val="20"/>
              </w:rPr>
            </w:pPr>
            <w:r w:rsidRPr="00316077">
              <w:rPr>
                <w:rFonts w:ascii="Times New Roman" w:hAnsi="Times New Roman"/>
                <w:sz w:val="20"/>
                <w:szCs w:val="20"/>
              </w:rPr>
              <w:t xml:space="preserve">Provision of technical support to BCTL for legal framework of MFIs, and membership/participation in the AFI </w:t>
            </w:r>
          </w:p>
          <w:p w14:paraId="31C14887" w14:textId="77777777" w:rsidR="00B30F8A" w:rsidRPr="00316077" w:rsidRDefault="00B30F8A" w:rsidP="00475F7F">
            <w:pPr>
              <w:pStyle w:val="Bulletlevel1"/>
              <w:numPr>
                <w:ilvl w:val="0"/>
                <w:numId w:val="0"/>
              </w:numPr>
              <w:ind w:left="360" w:hanging="360"/>
            </w:pPr>
          </w:p>
          <w:p w14:paraId="5F0831B7" w14:textId="77777777" w:rsidR="00320ADC" w:rsidRPr="00316077" w:rsidRDefault="00320ADC" w:rsidP="00320ADC">
            <w:pPr>
              <w:pStyle w:val="Bulletlevel1"/>
              <w:tabs>
                <w:tab w:val="left" w:pos="145"/>
              </w:tabs>
              <w:ind w:left="145" w:hanging="184"/>
              <w:rPr>
                <w:rFonts w:ascii="Times New Roman" w:hAnsi="Times New Roman"/>
                <w:sz w:val="20"/>
                <w:szCs w:val="20"/>
              </w:rPr>
            </w:pPr>
            <w:r w:rsidRPr="00316077">
              <w:rPr>
                <w:rFonts w:ascii="Times New Roman" w:hAnsi="Times New Roman"/>
                <w:sz w:val="20"/>
                <w:szCs w:val="20"/>
              </w:rPr>
              <w:t>INFUSE provided substantive inputs on financial inclusion strategies in the Draft 10-year Financial Sector Development Master Plan. INFUSE comments to the draft were published on the BCTL website and the final publication of the Master Plan. INFUSE CTA was invited by BCTL to attend a ceremony for its publication and INFUSE’s contribution was acknowledged</w:t>
            </w:r>
          </w:p>
          <w:p w14:paraId="58682F0B" w14:textId="77777777" w:rsidR="00B30F8A" w:rsidRPr="00316077" w:rsidRDefault="00B30F8A" w:rsidP="00475F7F">
            <w:pPr>
              <w:pStyle w:val="Bulletlevel1"/>
              <w:numPr>
                <w:ilvl w:val="0"/>
                <w:numId w:val="0"/>
              </w:numPr>
              <w:ind w:left="360" w:hanging="360"/>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1929D" w14:textId="77777777" w:rsidR="00B30F8A" w:rsidRPr="00316077" w:rsidRDefault="00B30F8A" w:rsidP="00475F7F">
            <w:pPr>
              <w:pStyle w:val="Bulletlevel1"/>
              <w:tabs>
                <w:tab w:val="left" w:pos="145"/>
              </w:tabs>
              <w:ind w:left="145" w:hanging="184"/>
            </w:pPr>
            <w:r w:rsidRPr="00316077">
              <w:rPr>
                <w:rFonts w:ascii="Times New Roman" w:hAnsi="Times New Roman"/>
                <w:sz w:val="20"/>
                <w:szCs w:val="20"/>
              </w:rPr>
              <w:t>The GoTL National Strategic Development Plan (NSDP 2011-2030) and the action plan for the 2012-2017 legislature dwell little on building a conducive environment for the financial sector to expand access.</w:t>
            </w:r>
          </w:p>
          <w:p w14:paraId="7BC24DCC" w14:textId="77777777" w:rsidR="00B30F8A" w:rsidRPr="00316077" w:rsidRDefault="00B30F8A" w:rsidP="00475F7F">
            <w:pPr>
              <w:pStyle w:val="Bulletlevel1"/>
              <w:numPr>
                <w:ilvl w:val="0"/>
                <w:numId w:val="0"/>
              </w:numPr>
              <w:ind w:left="-39" w:hanging="360"/>
              <w:rPr>
                <w:rFonts w:ascii="Times New Roman" w:hAnsi="Times New Roman"/>
                <w:sz w:val="20"/>
                <w:szCs w:val="20"/>
              </w:rPr>
            </w:pPr>
          </w:p>
          <w:p w14:paraId="682F9739" w14:textId="77777777" w:rsidR="00B30F8A" w:rsidRPr="00316077" w:rsidRDefault="00B30F8A" w:rsidP="00475F7F">
            <w:pPr>
              <w:pStyle w:val="Bulletlevel1"/>
              <w:tabs>
                <w:tab w:val="left" w:pos="145"/>
              </w:tabs>
              <w:ind w:left="145" w:hanging="184"/>
            </w:pPr>
            <w:r w:rsidRPr="00316077">
              <w:rPr>
                <w:rFonts w:ascii="Times New Roman" w:hAnsi="Times New Roman"/>
                <w:sz w:val="20"/>
                <w:szCs w:val="20"/>
              </w:rPr>
              <w:t>Dissolution of MoED has left a vacuum on policy formulation for the private &amp; financial sector as well as Rural Development, yet to be filled-in.</w:t>
            </w:r>
          </w:p>
          <w:p w14:paraId="04C95953" w14:textId="77777777" w:rsidR="00B30F8A" w:rsidRPr="00316077" w:rsidRDefault="00B30F8A" w:rsidP="00320ADC">
            <w:pPr>
              <w:pStyle w:val="Bulletlevel1"/>
              <w:numPr>
                <w:ilvl w:val="0"/>
                <w:numId w:val="0"/>
              </w:numPr>
              <w:tabs>
                <w:tab w:val="left" w:pos="145"/>
              </w:tabs>
              <w:rPr>
                <w:sz w:val="20"/>
                <w:szCs w:val="20"/>
              </w:rPr>
            </w:pPr>
          </w:p>
        </w:tc>
      </w:tr>
      <w:tr w:rsidR="00B30F8A" w:rsidRPr="00316077" w14:paraId="569FD95F" w14:textId="77777777" w:rsidTr="00475F7F">
        <w:trPr>
          <w:trHeight w:val="548"/>
        </w:trPr>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4182E" w14:textId="77777777" w:rsidR="00B30F8A" w:rsidRPr="00316077" w:rsidRDefault="00B30F8A" w:rsidP="00475F7F">
            <w:pPr>
              <w:rPr>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09F17" w14:textId="77777777" w:rsidR="00B30F8A" w:rsidRPr="00316077" w:rsidRDefault="00B30F8A" w:rsidP="00475F7F">
            <w:pPr>
              <w:jc w:val="both"/>
              <w:rPr>
                <w:sz w:val="20"/>
                <w:szCs w:val="20"/>
              </w:rPr>
            </w:pPr>
            <w:r w:rsidRPr="00316077">
              <w:rPr>
                <w:sz w:val="20"/>
                <w:szCs w:val="20"/>
              </w:rPr>
              <w:t>Indicator 1.2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3EAEE" w14:textId="77777777" w:rsidR="00B30F8A" w:rsidRPr="00316077" w:rsidRDefault="00B30F8A" w:rsidP="00475F7F">
            <w:r w:rsidRPr="00316077">
              <w:rPr>
                <w:sz w:val="20"/>
                <w:szCs w:val="20"/>
              </w:rPr>
              <w:t>A consolidated Financial Sub-sector Activity Plan for 2007-2012 is developed as part of the NDP 2007-12 (Y2)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8816F" w14:textId="77777777" w:rsidR="00B30F8A" w:rsidRPr="00316077" w:rsidRDefault="00B30F8A" w:rsidP="00475F7F">
            <w:pPr>
              <w:rPr>
                <w:sz w:val="20"/>
                <w:szCs w:val="20"/>
              </w:rPr>
            </w:pPr>
            <w:r w:rsidRPr="00316077">
              <w:rPr>
                <w:sz w:val="20"/>
                <w:szCs w:val="20"/>
              </w:rPr>
              <w:t>Partial</w:t>
            </w:r>
            <w:r w:rsidR="00316077">
              <w:rPr>
                <w:sz w:val="20"/>
                <w:szCs w:val="20"/>
              </w:rPr>
              <w:t>ly</w:t>
            </w:r>
            <w:r w:rsidR="00316077">
              <w:rPr>
                <w:sz w:val="20"/>
                <w:szCs w:val="20"/>
              </w:rPr>
              <w:br/>
            </w:r>
          </w:p>
          <w:p w14:paraId="1EBA320E" w14:textId="77777777" w:rsidR="00B30F8A" w:rsidRPr="00316077" w:rsidRDefault="00B30F8A" w:rsidP="00475F7F">
            <w:pPr>
              <w:rPr>
                <w:sz w:val="20"/>
                <w:szCs w:val="20"/>
              </w:rPr>
            </w:pPr>
            <w:r w:rsidRPr="00316077">
              <w:rPr>
                <w:sz w:val="20"/>
                <w:szCs w:val="20"/>
              </w:rPr>
              <w:t>-Annual participation in National Priority Working Groups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EF570" w14:textId="77777777" w:rsidR="00B30F8A" w:rsidRPr="00316077" w:rsidRDefault="00B30F8A" w:rsidP="00475F7F">
            <w:pPr>
              <w:rPr>
                <w:sz w:val="20"/>
                <w:szCs w:val="20"/>
              </w:rPr>
            </w:pPr>
            <w:r w:rsidRPr="00316077">
              <w:rPr>
                <w:sz w:val="20"/>
                <w:szCs w:val="20"/>
              </w:rPr>
              <w:t xml:space="preserve">- INFUSE participated in Annual National Priority Working Groups 2009, 2010, 2011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AA5EE" w14:textId="77777777" w:rsidR="00B30F8A" w:rsidRPr="00316077" w:rsidRDefault="00B30F8A" w:rsidP="00475F7F">
            <w:pPr>
              <w:rPr>
                <w:sz w:val="20"/>
                <w:szCs w:val="20"/>
              </w:rPr>
            </w:pPr>
            <w:r w:rsidRPr="00316077">
              <w:rPr>
                <w:sz w:val="20"/>
                <w:szCs w:val="20"/>
              </w:rPr>
              <w:t>5</w:t>
            </w:r>
            <w:r w:rsidRPr="00316077">
              <w:rPr>
                <w:sz w:val="20"/>
                <w:szCs w:val="20"/>
                <w:vertAlign w:val="superscript"/>
              </w:rPr>
              <w:t>th</w:t>
            </w:r>
            <w:r w:rsidRPr="00316077">
              <w:rPr>
                <w:sz w:val="20"/>
                <w:szCs w:val="20"/>
              </w:rPr>
              <w:t xml:space="preserve"> constitutional government in place in August 2012 articulated a 5-year NDP 2012-17 and discontinued the National Priority Working Groups</w:t>
            </w:r>
          </w:p>
          <w:p w14:paraId="417C3F94" w14:textId="77777777" w:rsidR="00B30F8A" w:rsidRPr="00316077" w:rsidRDefault="00B30F8A" w:rsidP="00475F7F">
            <w:pPr>
              <w:rPr>
                <w:sz w:val="20"/>
                <w:szCs w:val="20"/>
              </w:rPr>
            </w:pPr>
          </w:p>
        </w:tc>
      </w:tr>
      <w:tr w:rsidR="00B30F8A" w:rsidRPr="00316077" w14:paraId="41EF3517" w14:textId="77777777" w:rsidTr="00475F7F">
        <w:trPr>
          <w:trHeight w:val="350"/>
        </w:trPr>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2EBBA" w14:textId="77777777" w:rsidR="00B30F8A" w:rsidRPr="00316077" w:rsidRDefault="00B30F8A" w:rsidP="00475F7F">
            <w:pPr>
              <w:rPr>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A0CB8" w14:textId="77777777" w:rsidR="00B30F8A" w:rsidRPr="00316077" w:rsidRDefault="00B30F8A" w:rsidP="00475F7F">
            <w:pPr>
              <w:jc w:val="both"/>
              <w:rPr>
                <w:sz w:val="20"/>
                <w:szCs w:val="20"/>
              </w:rPr>
            </w:pPr>
            <w:r w:rsidRPr="00316077">
              <w:rPr>
                <w:sz w:val="20"/>
                <w:szCs w:val="20"/>
              </w:rPr>
              <w:t>Indicator 1.3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6D9FE" w14:textId="77777777" w:rsidR="00B30F8A" w:rsidRPr="00316077" w:rsidRDefault="00B30F8A" w:rsidP="00475F7F">
            <w:pPr>
              <w:rPr>
                <w:sz w:val="20"/>
                <w:szCs w:val="20"/>
              </w:rPr>
            </w:pPr>
            <w:r w:rsidRPr="00316077">
              <w:rPr>
                <w:sz w:val="20"/>
                <w:szCs w:val="20"/>
              </w:rPr>
              <w:t xml:space="preserve">Principles for Support to the </w:t>
            </w:r>
            <w:r w:rsidRPr="00316077">
              <w:rPr>
                <w:sz w:val="20"/>
                <w:szCs w:val="20"/>
              </w:rPr>
              <w:lastRenderedPageBreak/>
              <w:t>Financial Sub-Sector have been adopted by key donors (Y2)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5B55F" w14:textId="77777777" w:rsidR="00B30F8A" w:rsidRPr="00316077" w:rsidRDefault="00B30F8A" w:rsidP="00475F7F">
            <w:pPr>
              <w:rPr>
                <w:sz w:val="20"/>
                <w:szCs w:val="20"/>
              </w:rPr>
            </w:pPr>
            <w:r w:rsidRPr="00316077">
              <w:rPr>
                <w:sz w:val="20"/>
                <w:szCs w:val="20"/>
              </w:rPr>
              <w:lastRenderedPageBreak/>
              <w:t xml:space="preserve">No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DE05" w14:textId="77777777" w:rsidR="00B30F8A" w:rsidRPr="00316077" w:rsidRDefault="00B30F8A" w:rsidP="00475F7F">
            <w:pPr>
              <w:numPr>
                <w:ilvl w:val="0"/>
                <w:numId w:val="20"/>
              </w:numPr>
              <w:tabs>
                <w:tab w:val="left" w:pos="144"/>
              </w:tabs>
              <w:suppressAutoHyphens w:val="0"/>
              <w:ind w:left="144" w:hanging="144"/>
              <w:textAlignment w:val="auto"/>
            </w:pPr>
            <w:r w:rsidRPr="00316077">
              <w:rPr>
                <w:sz w:val="20"/>
                <w:szCs w:val="20"/>
              </w:rPr>
              <w:t>Donors and stakeholders have been coordinated through INFUSE participation in national priori</w:t>
            </w:r>
            <w:r w:rsidRPr="00316077">
              <w:rPr>
                <w:sz w:val="20"/>
                <w:szCs w:val="20"/>
              </w:rPr>
              <w:lastRenderedPageBreak/>
              <w:t>ty working groups, private sector development working group, INFUSE advisory group for inclusive finance, and bi-annual MCIF.</w:t>
            </w:r>
          </w:p>
          <w:p w14:paraId="61F13DDB" w14:textId="77777777" w:rsidR="00B30F8A" w:rsidRPr="00316077" w:rsidRDefault="00B30F8A" w:rsidP="00475F7F">
            <w:pPr>
              <w:numPr>
                <w:ilvl w:val="0"/>
                <w:numId w:val="20"/>
              </w:numPr>
              <w:tabs>
                <w:tab w:val="left" w:pos="144"/>
              </w:tabs>
              <w:suppressAutoHyphens w:val="0"/>
              <w:ind w:left="144" w:hanging="144"/>
              <w:textAlignment w:val="auto"/>
              <w:rPr>
                <w:sz w:val="20"/>
                <w:szCs w:val="20"/>
              </w:rPr>
            </w:pPr>
            <w:r w:rsidRPr="00316077">
              <w:rPr>
                <w:sz w:val="20"/>
                <w:szCs w:val="20"/>
              </w:rPr>
              <w:t>Some donors have participated in the CGAP Donors for inclusive finance training</w:t>
            </w:r>
          </w:p>
          <w:p w14:paraId="7EDEE4CE" w14:textId="77777777" w:rsidR="00B30F8A" w:rsidRPr="00316077" w:rsidRDefault="00B30F8A" w:rsidP="00475F7F">
            <w:pPr>
              <w:numPr>
                <w:ilvl w:val="0"/>
                <w:numId w:val="20"/>
              </w:numPr>
              <w:tabs>
                <w:tab w:val="left" w:pos="144"/>
              </w:tabs>
              <w:suppressAutoHyphens w:val="0"/>
              <w:ind w:left="144" w:hanging="144"/>
              <w:textAlignment w:val="auto"/>
              <w:rPr>
                <w:sz w:val="20"/>
                <w:szCs w:val="20"/>
              </w:rPr>
            </w:pPr>
            <w:r w:rsidRPr="00316077">
              <w:rPr>
                <w:sz w:val="20"/>
                <w:szCs w:val="20"/>
              </w:rPr>
              <w:t>FIDGTL setup and managed by INFUSE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CA267" w14:textId="77777777" w:rsidR="00B30F8A" w:rsidRPr="00316077" w:rsidRDefault="00B30F8A" w:rsidP="00475F7F">
            <w:pPr>
              <w:rPr>
                <w:b/>
                <w:sz w:val="20"/>
                <w:szCs w:val="20"/>
              </w:rPr>
            </w:pPr>
            <w:r w:rsidRPr="00316077">
              <w:rPr>
                <w:sz w:val="20"/>
                <w:szCs w:val="20"/>
              </w:rPr>
              <w:lastRenderedPageBreak/>
              <w:t>INFUSE managed to raise large participation for FIDGTL</w:t>
            </w:r>
            <w:r w:rsidR="00316077">
              <w:rPr>
                <w:sz w:val="20"/>
                <w:szCs w:val="20"/>
              </w:rPr>
              <w:t xml:space="preserve"> and </w:t>
            </w:r>
            <w:r w:rsidR="00316077">
              <w:rPr>
                <w:sz w:val="20"/>
                <w:szCs w:val="20"/>
              </w:rPr>
              <w:lastRenderedPageBreak/>
              <w:t xml:space="preserve">trained donors, but no official support Principles were signed.  </w:t>
            </w:r>
            <w:r w:rsidR="00316077">
              <w:rPr>
                <w:b/>
                <w:sz w:val="20"/>
                <w:szCs w:val="20"/>
              </w:rPr>
              <w:t>NOTE: primary donors active in financial inclusion adhere to best practices</w:t>
            </w:r>
          </w:p>
        </w:tc>
      </w:tr>
      <w:tr w:rsidR="00B30F8A" w:rsidRPr="00316077" w14:paraId="5A7FD50C" w14:textId="77777777" w:rsidTr="00475F7F">
        <w:trPr>
          <w:trHeight w:val="548"/>
        </w:trPr>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48DDF" w14:textId="77777777" w:rsidR="00B30F8A" w:rsidRPr="00316077" w:rsidRDefault="00B30F8A" w:rsidP="00475F7F">
            <w:pPr>
              <w:rPr>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367AC" w14:textId="77777777" w:rsidR="00B30F8A" w:rsidRPr="00316077" w:rsidRDefault="00B30F8A" w:rsidP="00475F7F">
            <w:pPr>
              <w:jc w:val="both"/>
              <w:rPr>
                <w:sz w:val="20"/>
                <w:szCs w:val="20"/>
              </w:rPr>
            </w:pPr>
            <w:r w:rsidRPr="00316077">
              <w:rPr>
                <w:sz w:val="20"/>
                <w:szCs w:val="20"/>
              </w:rPr>
              <w:t>Indicator 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D0C26" w14:textId="77777777" w:rsidR="00B30F8A" w:rsidRPr="00316077" w:rsidRDefault="00B30F8A" w:rsidP="00475F7F">
            <w:pPr>
              <w:pStyle w:val="TableText"/>
              <w:spacing w:before="0"/>
            </w:pPr>
            <w:r w:rsidRPr="00316077">
              <w:rPr>
                <w:rFonts w:ascii="Times New Roman" w:hAnsi="Times New Roman" w:cs="Times New Roman"/>
              </w:rPr>
              <w:t>UNDAF aligned with policy (Y2)</w:t>
            </w:r>
          </w:p>
          <w:p w14:paraId="0E87DF68" w14:textId="77777777" w:rsidR="00B30F8A" w:rsidRPr="00316077" w:rsidRDefault="00B30F8A" w:rsidP="00475F7F">
            <w:pPr>
              <w:pStyle w:val="TableText"/>
              <w:spacing w:before="0"/>
              <w:rPr>
                <w:rFonts w:ascii="Times New Roman" w:hAnsi="Times New Roman" w:cs="Times New Roman"/>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44D8" w14:textId="77777777" w:rsidR="00B30F8A" w:rsidRPr="00316077" w:rsidRDefault="00B30F8A" w:rsidP="00475F7F">
            <w:pPr>
              <w:pStyle w:val="Bulletlevel1"/>
              <w:numPr>
                <w:ilvl w:val="0"/>
                <w:numId w:val="0"/>
              </w:numPr>
              <w:ind w:left="360" w:hanging="360"/>
              <w:rPr>
                <w:rFonts w:ascii="Times New Roman" w:hAnsi="Times New Roman"/>
                <w:sz w:val="20"/>
                <w:szCs w:val="20"/>
              </w:rPr>
            </w:pPr>
            <w:r w:rsidRPr="00316077">
              <w:rPr>
                <w:rFonts w:ascii="Times New Roman" w:hAnsi="Times New Roman"/>
                <w:sz w:val="20"/>
                <w:szCs w:val="20"/>
              </w:rPr>
              <w:t>Yes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7BE74" w14:textId="77777777" w:rsidR="00B30F8A" w:rsidRPr="00316077" w:rsidRDefault="00B30F8A" w:rsidP="00475F7F">
            <w:pPr>
              <w:pStyle w:val="Bulletlevel1"/>
              <w:tabs>
                <w:tab w:val="left" w:pos="145"/>
              </w:tabs>
              <w:ind w:left="145" w:hanging="184"/>
              <w:rPr>
                <w:rFonts w:ascii="Times New Roman" w:hAnsi="Times New Roman"/>
                <w:sz w:val="20"/>
                <w:szCs w:val="20"/>
              </w:rPr>
            </w:pPr>
            <w:r w:rsidRPr="00316077">
              <w:rPr>
                <w:rFonts w:ascii="Times New Roman" w:hAnsi="Times New Roman"/>
                <w:sz w:val="20"/>
                <w:szCs w:val="20"/>
              </w:rPr>
              <w:t>Inclusive finance targets incorporated in UNDAF 2015-2020.</w:t>
            </w:r>
          </w:p>
          <w:p w14:paraId="0A023386" w14:textId="77777777" w:rsidR="00B30F8A" w:rsidRPr="00316077" w:rsidRDefault="00B30F8A" w:rsidP="00475F7F">
            <w:pPr>
              <w:pStyle w:val="Bulletlevel1"/>
              <w:tabs>
                <w:tab w:val="left" w:pos="145"/>
              </w:tabs>
              <w:ind w:left="145" w:hanging="184"/>
              <w:rPr>
                <w:rFonts w:ascii="Times New Roman" w:hAnsi="Times New Roman"/>
                <w:sz w:val="20"/>
                <w:szCs w:val="20"/>
              </w:rPr>
            </w:pPr>
            <w:r w:rsidRPr="00316077">
              <w:rPr>
                <w:rFonts w:ascii="Times New Roman" w:hAnsi="Times New Roman"/>
                <w:sz w:val="20"/>
                <w:szCs w:val="20"/>
              </w:rPr>
              <w:t xml:space="preserve">Annual reporting on outreach indicators takes place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F44D2" w14:textId="77777777" w:rsidR="00B30F8A" w:rsidRPr="00316077" w:rsidRDefault="00B30F8A" w:rsidP="00475F7F">
            <w:pPr>
              <w:rPr>
                <w:sz w:val="20"/>
                <w:szCs w:val="20"/>
              </w:rPr>
            </w:pPr>
          </w:p>
        </w:tc>
      </w:tr>
      <w:tr w:rsidR="00B30F8A" w:rsidRPr="00316077" w14:paraId="1D382305" w14:textId="77777777" w:rsidTr="00475F7F">
        <w:trPr>
          <w:trHeight w:val="548"/>
        </w:trPr>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D265E" w14:textId="77777777" w:rsidR="00B30F8A" w:rsidRPr="00316077" w:rsidRDefault="00B30F8A" w:rsidP="00475F7F">
            <w:pPr>
              <w:rPr>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5CB65" w14:textId="77777777" w:rsidR="00B30F8A" w:rsidRPr="00316077" w:rsidRDefault="00B30F8A" w:rsidP="00475F7F">
            <w:pPr>
              <w:jc w:val="both"/>
              <w:rPr>
                <w:sz w:val="20"/>
                <w:szCs w:val="20"/>
              </w:rPr>
            </w:pPr>
            <w:r w:rsidRPr="00316077">
              <w:rPr>
                <w:sz w:val="20"/>
                <w:szCs w:val="20"/>
              </w:rPr>
              <w:t>Indicator 1.5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8ED95" w14:textId="77777777" w:rsidR="00B30F8A" w:rsidRPr="00316077" w:rsidRDefault="00B30F8A" w:rsidP="00475F7F">
            <w:pPr>
              <w:pStyle w:val="TableText"/>
              <w:spacing w:before="0"/>
            </w:pPr>
            <w:r w:rsidRPr="00316077">
              <w:rPr>
                <w:rFonts w:ascii="Times New Roman" w:hAnsi="Times New Roman" w:cs="Times New Roman"/>
              </w:rPr>
              <w:t>Current and future investments in the sub-sector are reviewed for compliance with national policy framework (Y3-5)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F4BC3" w14:textId="77777777" w:rsidR="00B30F8A" w:rsidRPr="00316077" w:rsidRDefault="00B30F8A" w:rsidP="00475F7F">
            <w:pPr>
              <w:pStyle w:val="Bulletlevel1"/>
              <w:numPr>
                <w:ilvl w:val="0"/>
                <w:numId w:val="0"/>
              </w:numPr>
              <w:ind w:left="360" w:hanging="360"/>
              <w:rPr>
                <w:rFonts w:ascii="Times New Roman" w:hAnsi="Times New Roman"/>
                <w:sz w:val="20"/>
                <w:szCs w:val="20"/>
              </w:rPr>
            </w:pPr>
            <w:r w:rsidRPr="00316077">
              <w:rPr>
                <w:rFonts w:ascii="Times New Roman" w:hAnsi="Times New Roman"/>
                <w:sz w:val="20"/>
                <w:szCs w:val="20"/>
              </w:rPr>
              <w:t xml:space="preserve">No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A617D" w14:textId="77777777" w:rsidR="00B30F8A" w:rsidRPr="00316077" w:rsidRDefault="00B30F8A" w:rsidP="00475F7F">
            <w:pPr>
              <w:numPr>
                <w:ilvl w:val="0"/>
                <w:numId w:val="20"/>
              </w:numPr>
              <w:tabs>
                <w:tab w:val="left" w:pos="140"/>
              </w:tabs>
              <w:suppressAutoHyphens w:val="0"/>
              <w:ind w:left="140" w:hanging="140"/>
              <w:textAlignment w:val="auto"/>
              <w:rPr>
                <w:sz w:val="20"/>
                <w:szCs w:val="20"/>
              </w:rPr>
            </w:pPr>
            <w:r w:rsidRPr="00316077">
              <w:rPr>
                <w:sz w:val="20"/>
                <w:szCs w:val="20"/>
              </w:rPr>
              <w:t>Donors are coordinated resulting in contributions to INFUSE of app. US$3 million mobilized for INFUSE programme, US$1million mobilized from MicroLead for one MFI.</w:t>
            </w:r>
          </w:p>
          <w:p w14:paraId="0D3AD6C0" w14:textId="77777777" w:rsidR="00B30F8A" w:rsidRPr="00316077" w:rsidRDefault="00B30F8A" w:rsidP="00475F7F">
            <w:pPr>
              <w:numPr>
                <w:ilvl w:val="0"/>
                <w:numId w:val="20"/>
              </w:numPr>
              <w:tabs>
                <w:tab w:val="left" w:pos="140"/>
              </w:tabs>
              <w:suppressAutoHyphens w:val="0"/>
              <w:ind w:left="140" w:hanging="140"/>
              <w:textAlignment w:val="auto"/>
            </w:pPr>
            <w:r w:rsidRPr="00316077">
              <w:rPr>
                <w:sz w:val="20"/>
                <w:szCs w:val="20"/>
              </w:rPr>
              <w:t xml:space="preserve">Both MFIs accessed successfully commercial refinancing </w:t>
            </w:r>
            <w:r w:rsidR="00316077" w:rsidRPr="00316077">
              <w:rPr>
                <w:sz w:val="20"/>
                <w:szCs w:val="20"/>
              </w:rPr>
              <w:t>and have</w:t>
            </w:r>
            <w:r w:rsidRPr="00316077">
              <w:rPr>
                <w:sz w:val="20"/>
                <w:szCs w:val="20"/>
              </w:rPr>
              <w:t xml:space="preserve"> attract</w:t>
            </w:r>
            <w:r w:rsidR="00316077" w:rsidRPr="00316077">
              <w:rPr>
                <w:sz w:val="20"/>
                <w:szCs w:val="20"/>
              </w:rPr>
              <w:t>ed</w:t>
            </w:r>
            <w:r w:rsidRPr="00316077">
              <w:rPr>
                <w:sz w:val="20"/>
                <w:szCs w:val="20"/>
              </w:rPr>
              <w:t xml:space="preserve"> foreign equity investment.</w:t>
            </w:r>
          </w:p>
          <w:p w14:paraId="254D2B2A" w14:textId="77777777" w:rsidR="00B30F8A" w:rsidRPr="00316077" w:rsidRDefault="00B30F8A" w:rsidP="00475F7F">
            <w:pPr>
              <w:suppressAutoHyphens w:val="0"/>
              <w:ind w:left="140"/>
              <w:textAlignment w:val="auto"/>
              <w:rPr>
                <w:sz w:val="20"/>
                <w:szCs w:val="20"/>
              </w:rPr>
            </w:pPr>
            <w:r w:rsidRPr="00316077">
              <w:rPr>
                <w:sz w:val="20"/>
                <w:szCs w:val="20"/>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DB291" w14:textId="77777777" w:rsidR="00B30F8A" w:rsidRPr="00316077" w:rsidRDefault="00B30F8A" w:rsidP="00475F7F">
            <w:pPr>
              <w:rPr>
                <w:sz w:val="20"/>
                <w:szCs w:val="20"/>
              </w:rPr>
            </w:pPr>
            <w:r w:rsidRPr="00316077">
              <w:rPr>
                <w:sz w:val="20"/>
                <w:szCs w:val="20"/>
              </w:rPr>
              <w:t>No national policy statement for inclusive finance developed as yet</w:t>
            </w:r>
          </w:p>
        </w:tc>
      </w:tr>
      <w:tr w:rsidR="00B30F8A" w:rsidRPr="00316077" w14:paraId="0C7BB1FC" w14:textId="77777777" w:rsidTr="00475F7F">
        <w:trPr>
          <w:trHeight w:val="548"/>
        </w:trPr>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42F17" w14:textId="77777777" w:rsidR="00B30F8A" w:rsidRPr="00316077" w:rsidRDefault="00B30F8A" w:rsidP="00475F7F">
            <w:pPr>
              <w:rPr>
                <w:b/>
                <w:sz w:val="20"/>
                <w:szCs w:val="20"/>
              </w:rPr>
            </w:pPr>
            <w:r w:rsidRPr="00316077">
              <w:rPr>
                <w:b/>
                <w:sz w:val="20"/>
                <w:szCs w:val="20"/>
              </w:rPr>
              <w:t>Output 2</w:t>
            </w:r>
          </w:p>
          <w:p w14:paraId="6EAF48A3" w14:textId="77777777" w:rsidR="00B30F8A" w:rsidRPr="00316077" w:rsidRDefault="00B30F8A" w:rsidP="00475F7F">
            <w:pPr>
              <w:pStyle w:val="BodyText"/>
              <w:spacing w:before="120"/>
              <w:rPr>
                <w:rFonts w:ascii="Times New Roman" w:hAnsi="Times New Roman" w:cs="Times New Roman"/>
                <w:b/>
                <w:bCs/>
              </w:rPr>
            </w:pPr>
            <w:r w:rsidRPr="00316077">
              <w:rPr>
                <w:rFonts w:ascii="Times New Roman" w:hAnsi="Times New Roman" w:cs="Times New Roman"/>
                <w:b/>
                <w:bCs/>
              </w:rPr>
              <w:t>Increased Outreach of financial services by sustainable FSPs</w:t>
            </w:r>
          </w:p>
          <w:p w14:paraId="558299C3" w14:textId="77777777" w:rsidR="00B30F8A" w:rsidRPr="00316077" w:rsidRDefault="00B30F8A" w:rsidP="00475F7F">
            <w:pPr>
              <w:pStyle w:val="BodyText"/>
              <w:spacing w:before="120"/>
              <w:rPr>
                <w:rFonts w:ascii="Times New Roman" w:hAnsi="Times New Roman" w:cs="Times New Roman"/>
                <w:b/>
                <w:bCs/>
              </w:rPr>
            </w:pPr>
          </w:p>
          <w:p w14:paraId="0E51B41F" w14:textId="77777777" w:rsidR="00B30F8A" w:rsidRPr="00316077" w:rsidRDefault="00B30F8A" w:rsidP="00475F7F">
            <w:r w:rsidRPr="00316077">
              <w:rPr>
                <w:sz w:val="20"/>
                <w:szCs w:val="20"/>
              </w:rPr>
              <w:t>Good practice-based Financial Services Providers (FSPs) serving primarily the poor and low-income market make progress towards sustainability and increase their outreach, while maintaining a high portfolio quality</w:t>
            </w:r>
          </w:p>
          <w:p w14:paraId="6F77BA6A" w14:textId="77777777" w:rsidR="00B30F8A" w:rsidRPr="00316077" w:rsidRDefault="00B30F8A" w:rsidP="00475F7F">
            <w:pPr>
              <w:rPr>
                <w:sz w:val="20"/>
                <w:szCs w:val="20"/>
                <w:lang w:val="en-GB"/>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75457" w14:textId="77777777" w:rsidR="00B30F8A" w:rsidRPr="00316077" w:rsidRDefault="00316077" w:rsidP="00475F7F">
            <w:pPr>
              <w:pStyle w:val="Bulletlevel1"/>
              <w:numPr>
                <w:ilvl w:val="0"/>
                <w:numId w:val="0"/>
              </w:numPr>
              <w:ind w:left="-39" w:hanging="360"/>
            </w:pPr>
            <w:r>
              <w:rPr>
                <w:sz w:val="20"/>
                <w:szCs w:val="20"/>
              </w:rPr>
              <w:t>IIndicator</w:t>
            </w:r>
            <w:r w:rsidR="00B30F8A" w:rsidRPr="00316077">
              <w:rPr>
                <w:sz w:val="20"/>
                <w:szCs w:val="20"/>
              </w:rPr>
              <w:t xml:space="preserve">  2.1</w:t>
            </w:r>
          </w:p>
          <w:p w14:paraId="68AB73BB" w14:textId="77777777" w:rsidR="00B30F8A" w:rsidRPr="00316077" w:rsidRDefault="00B30F8A" w:rsidP="00475F7F">
            <w:pPr>
              <w:pStyle w:val="Bulletlevel1"/>
              <w:numPr>
                <w:ilvl w:val="0"/>
                <w:numId w:val="0"/>
              </w:numPr>
              <w:ind w:left="-39" w:hanging="360"/>
              <w:rPr>
                <w:sz w:val="20"/>
                <w:szCs w:val="20"/>
              </w:rPr>
            </w:pPr>
          </w:p>
          <w:p w14:paraId="1483BCE1" w14:textId="77777777" w:rsidR="00B30F8A" w:rsidRPr="00316077" w:rsidRDefault="00B30F8A" w:rsidP="00475F7F">
            <w:pPr>
              <w:pStyle w:val="Bulletlevel1"/>
              <w:numPr>
                <w:ilvl w:val="0"/>
                <w:numId w:val="0"/>
              </w:numPr>
              <w:ind w:left="-39" w:hanging="360"/>
            </w:pPr>
            <w:r w:rsidRPr="00316077">
              <w:rPr>
                <w:rFonts w:ascii="Times New Roman" w:hAnsi="Times New Roman"/>
                <w:sz w:val="20"/>
                <w:szCs w:val="20"/>
              </w:rPr>
              <w:t xml:space="preserve">Baseline as at Dec 2008 is </w:t>
            </w:r>
            <w:r w:rsidRPr="00316077">
              <w:rPr>
                <w:rFonts w:ascii="Times New Roman" w:hAnsi="Times New Roman"/>
                <w:b/>
                <w:bCs/>
                <w:sz w:val="20"/>
                <w:szCs w:val="20"/>
              </w:rPr>
              <w:t xml:space="preserve">           </w:t>
            </w:r>
            <w:r w:rsidRPr="00316077">
              <w:rPr>
                <w:rFonts w:ascii="Times New Roman" w:hAnsi="Times New Roman"/>
                <w:bCs/>
                <w:sz w:val="20"/>
                <w:szCs w:val="20"/>
              </w:rPr>
              <w:t>35,369</w:t>
            </w:r>
            <w:r w:rsidRPr="00316077">
              <w:rPr>
                <w:rFonts w:ascii="Times New Roman" w:hAnsi="Times New Roman"/>
                <w:b/>
                <w:bCs/>
                <w:sz w:val="20"/>
                <w:szCs w:val="20"/>
              </w:rPr>
              <w:t xml:space="preserve"> </w:t>
            </w:r>
          </w:p>
          <w:p w14:paraId="1CF1C574" w14:textId="77777777" w:rsidR="00B30F8A" w:rsidRPr="00316077" w:rsidRDefault="00B30F8A" w:rsidP="00475F7F">
            <w:pPr>
              <w:jc w:val="both"/>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0B216" w14:textId="77777777" w:rsidR="00B30F8A" w:rsidRPr="00316077" w:rsidRDefault="00B30F8A" w:rsidP="00475F7F">
            <w:r w:rsidRPr="00316077">
              <w:rPr>
                <w:sz w:val="20"/>
                <w:szCs w:val="20"/>
              </w:rPr>
              <w:t xml:space="preserve">Increase in the number of active clients (at least 50% women) of selected Financial Service Providers (excluding commercial banks) from baseline established as at end of 2008 by 20% percent p.a. (compounded), totaling </w:t>
            </w:r>
            <w:r w:rsidRPr="00316077">
              <w:rPr>
                <w:bCs/>
                <w:sz w:val="20"/>
                <w:szCs w:val="20"/>
              </w:rPr>
              <w:t>73,341 active clients</w:t>
            </w:r>
            <w:r w:rsidRPr="00316077">
              <w:rPr>
                <w:sz w:val="20"/>
                <w:szCs w:val="20"/>
              </w:rPr>
              <w:t xml:space="preserve"> by project end.  </w:t>
            </w:r>
          </w:p>
          <w:p w14:paraId="212C9949" w14:textId="77777777" w:rsidR="00B30F8A" w:rsidRPr="00316077" w:rsidRDefault="00B30F8A" w:rsidP="00475F7F">
            <w:pPr>
              <w:rPr>
                <w:sz w:val="20"/>
                <w:szCs w:val="20"/>
              </w:rPr>
            </w:pPr>
          </w:p>
          <w:p w14:paraId="47014E34" w14:textId="77777777" w:rsidR="00B30F8A" w:rsidRPr="00316077" w:rsidRDefault="00B30F8A" w:rsidP="00475F7F">
            <w:pPr>
              <w:rPr>
                <w:b/>
                <w:sz w:val="20"/>
                <w:szCs w:val="20"/>
              </w:rPr>
            </w:pPr>
            <w:r w:rsidRPr="00316077">
              <w:rPr>
                <w:b/>
                <w:sz w:val="20"/>
                <w:szCs w:val="20"/>
              </w:rPr>
              <w:t>Targets to be tracked:</w:t>
            </w:r>
          </w:p>
          <w:p w14:paraId="1821F2B7" w14:textId="77777777" w:rsidR="00B30F8A" w:rsidRPr="00316077" w:rsidRDefault="00B30F8A" w:rsidP="00475F7F">
            <w:pPr>
              <w:numPr>
                <w:ilvl w:val="0"/>
                <w:numId w:val="21"/>
              </w:numPr>
              <w:suppressAutoHyphens w:val="0"/>
              <w:textAlignment w:val="auto"/>
            </w:pPr>
            <w:r w:rsidRPr="00316077">
              <w:rPr>
                <w:b/>
                <w:sz w:val="20"/>
                <w:szCs w:val="20"/>
              </w:rPr>
              <w:t>INFUSE supported providers of MF services</w:t>
            </w:r>
          </w:p>
          <w:p w14:paraId="69691771" w14:textId="77777777" w:rsidR="00B30F8A" w:rsidRPr="00316077" w:rsidRDefault="00B30F8A" w:rsidP="00475F7F">
            <w:pPr>
              <w:numPr>
                <w:ilvl w:val="0"/>
                <w:numId w:val="21"/>
              </w:numPr>
              <w:suppressAutoHyphens w:val="0"/>
              <w:textAlignment w:val="auto"/>
            </w:pPr>
            <w:r w:rsidRPr="00316077">
              <w:rPr>
                <w:b/>
                <w:sz w:val="20"/>
                <w:szCs w:val="20"/>
              </w:rPr>
              <w:t>Increase in access to new products and services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53665" w14:textId="77777777" w:rsidR="00B30F8A" w:rsidRPr="00316077" w:rsidRDefault="00316077" w:rsidP="00316077">
            <w:pPr>
              <w:pStyle w:val="Bulletlevel1"/>
              <w:numPr>
                <w:ilvl w:val="0"/>
                <w:numId w:val="0"/>
              </w:numPr>
              <w:rPr>
                <w:rFonts w:ascii="Times New Roman" w:hAnsi="Times New Roman"/>
                <w:sz w:val="20"/>
                <w:szCs w:val="20"/>
              </w:rPr>
            </w:pPr>
            <w:r>
              <w:rPr>
                <w:rFonts w:ascii="Times New Roman" w:hAnsi="Times New Roman"/>
                <w:sz w:val="20"/>
                <w:szCs w:val="20"/>
              </w:rPr>
              <w:t>Partially</w:t>
            </w:r>
          </w:p>
          <w:p w14:paraId="65F4B38E" w14:textId="77777777" w:rsidR="00B30F8A" w:rsidRPr="00316077" w:rsidRDefault="00B30F8A" w:rsidP="00475F7F">
            <w:pPr>
              <w:pStyle w:val="Bulletlevel1"/>
              <w:numPr>
                <w:ilvl w:val="0"/>
                <w:numId w:val="0"/>
              </w:numPr>
              <w:ind w:left="360" w:hanging="360"/>
              <w:rPr>
                <w:rFonts w:ascii="Times New Roman" w:hAnsi="Times New Roman"/>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939F5" w14:textId="77777777" w:rsidR="00B30F8A" w:rsidRDefault="00316077" w:rsidP="00316077">
            <w:pPr>
              <w:numPr>
                <w:ilvl w:val="0"/>
                <w:numId w:val="20"/>
              </w:numPr>
              <w:tabs>
                <w:tab w:val="left" w:pos="140"/>
              </w:tabs>
              <w:suppressAutoHyphens w:val="0"/>
              <w:ind w:left="140" w:hanging="140"/>
              <w:textAlignment w:val="auto"/>
              <w:rPr>
                <w:sz w:val="20"/>
                <w:szCs w:val="20"/>
              </w:rPr>
            </w:pPr>
            <w:r>
              <w:rPr>
                <w:sz w:val="20"/>
                <w:szCs w:val="20"/>
              </w:rPr>
              <w:t>Increase in Outreach figures for INFUSE supported MFIs may be seen in Outreach table, above</w:t>
            </w:r>
          </w:p>
          <w:p w14:paraId="4C515102" w14:textId="77777777" w:rsidR="00316077" w:rsidRDefault="00316077" w:rsidP="00316077">
            <w:pPr>
              <w:numPr>
                <w:ilvl w:val="0"/>
                <w:numId w:val="20"/>
              </w:numPr>
              <w:tabs>
                <w:tab w:val="left" w:pos="140"/>
              </w:tabs>
              <w:suppressAutoHyphens w:val="0"/>
              <w:ind w:left="140" w:hanging="140"/>
              <w:textAlignment w:val="auto"/>
              <w:rPr>
                <w:sz w:val="20"/>
                <w:szCs w:val="20"/>
              </w:rPr>
            </w:pPr>
            <w:r>
              <w:rPr>
                <w:sz w:val="20"/>
                <w:szCs w:val="20"/>
              </w:rPr>
              <w:t>Gender targets were exceeded.</w:t>
            </w:r>
          </w:p>
          <w:p w14:paraId="669D8DDE" w14:textId="77777777" w:rsidR="00316077" w:rsidRPr="00316077" w:rsidRDefault="00316077" w:rsidP="00316077">
            <w:pPr>
              <w:numPr>
                <w:ilvl w:val="0"/>
                <w:numId w:val="20"/>
              </w:numPr>
              <w:tabs>
                <w:tab w:val="left" w:pos="140"/>
              </w:tabs>
              <w:suppressAutoHyphens w:val="0"/>
              <w:ind w:left="140" w:hanging="140"/>
              <w:textAlignment w:val="auto"/>
              <w:rPr>
                <w:sz w:val="20"/>
                <w:szCs w:val="20"/>
              </w:rPr>
            </w:pPr>
            <w:r>
              <w:rPr>
                <w:sz w:val="20"/>
                <w:szCs w:val="20"/>
              </w:rPr>
              <w:t>New product and service targets were met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87D2D" w14:textId="77777777" w:rsidR="00B30F8A" w:rsidRPr="00316077" w:rsidRDefault="00B30F8A" w:rsidP="00475F7F">
            <w:pPr>
              <w:rPr>
                <w:sz w:val="20"/>
                <w:szCs w:val="20"/>
              </w:rPr>
            </w:pPr>
            <w:r w:rsidRPr="00316077">
              <w:rPr>
                <w:sz w:val="20"/>
                <w:szCs w:val="20"/>
              </w:rPr>
              <w:t xml:space="preserve">Note: when setting targets, all MF service providers were included in baseline and projections on the assumption that INFUSE </w:t>
            </w:r>
            <w:r w:rsidR="00316077">
              <w:rPr>
                <w:sz w:val="20"/>
                <w:szCs w:val="20"/>
              </w:rPr>
              <w:t xml:space="preserve">would </w:t>
            </w:r>
            <w:r w:rsidRPr="00316077">
              <w:rPr>
                <w:sz w:val="20"/>
                <w:szCs w:val="20"/>
              </w:rPr>
              <w:t xml:space="preserve">provide direct support, and would also provide general sector support that would affect their performance. </w:t>
            </w:r>
          </w:p>
          <w:p w14:paraId="6EC70707" w14:textId="77777777" w:rsidR="00B30F8A" w:rsidRPr="00316077" w:rsidRDefault="00B30F8A" w:rsidP="00475F7F">
            <w:pPr>
              <w:rPr>
                <w:sz w:val="20"/>
                <w:szCs w:val="20"/>
              </w:rPr>
            </w:pPr>
          </w:p>
          <w:p w14:paraId="64659605" w14:textId="77777777" w:rsidR="00B30F8A" w:rsidRPr="00316077" w:rsidRDefault="00B30F8A" w:rsidP="00475F7F">
            <w:pPr>
              <w:rPr>
                <w:sz w:val="20"/>
                <w:szCs w:val="20"/>
              </w:rPr>
            </w:pPr>
            <w:r w:rsidRPr="00316077">
              <w:rPr>
                <w:sz w:val="20"/>
                <w:szCs w:val="20"/>
              </w:rPr>
              <w:t xml:space="preserve">No results to INFUSE’s attempts to support CUs with sustainable approach.  </w:t>
            </w:r>
          </w:p>
          <w:p w14:paraId="28392F09" w14:textId="77777777" w:rsidR="00316077" w:rsidRDefault="00316077" w:rsidP="00475F7F">
            <w:pPr>
              <w:rPr>
                <w:sz w:val="20"/>
                <w:szCs w:val="20"/>
              </w:rPr>
            </w:pPr>
          </w:p>
          <w:p w14:paraId="34CE315B" w14:textId="77777777" w:rsidR="00B30F8A" w:rsidRPr="00316077" w:rsidRDefault="00B30F8A" w:rsidP="00475F7F">
            <w:pPr>
              <w:rPr>
                <w:sz w:val="20"/>
                <w:szCs w:val="20"/>
              </w:rPr>
            </w:pPr>
            <w:r w:rsidRPr="00316077">
              <w:rPr>
                <w:sz w:val="20"/>
                <w:szCs w:val="20"/>
              </w:rPr>
              <w:t>Support to IMfTL has not been desired as they receive significan</w:t>
            </w:r>
            <w:r w:rsidR="00316077">
              <w:rPr>
                <w:sz w:val="20"/>
                <w:szCs w:val="20"/>
              </w:rPr>
              <w:t>t support from ADB and the GoTL—this is the largest MFI and contributed to most growth in sector.</w:t>
            </w:r>
          </w:p>
          <w:p w14:paraId="654835AA" w14:textId="77777777" w:rsidR="00B30F8A" w:rsidRPr="00316077" w:rsidRDefault="00B30F8A" w:rsidP="00475F7F">
            <w:pPr>
              <w:rPr>
                <w:sz w:val="20"/>
                <w:szCs w:val="20"/>
              </w:rPr>
            </w:pPr>
          </w:p>
          <w:p w14:paraId="1E3FB126" w14:textId="77777777" w:rsidR="00B30F8A" w:rsidRPr="00316077" w:rsidRDefault="00B30F8A" w:rsidP="00475F7F">
            <w:pPr>
              <w:rPr>
                <w:sz w:val="20"/>
                <w:szCs w:val="20"/>
              </w:rPr>
            </w:pPr>
            <w:r w:rsidRPr="00316077">
              <w:rPr>
                <w:sz w:val="20"/>
                <w:szCs w:val="20"/>
              </w:rPr>
              <w:t>Outreach kept on reducing over 2013 at MR due to the quality of its loan portfolio compounded by management issues. TRM resumed growth in 2013.</w:t>
            </w:r>
          </w:p>
        </w:tc>
      </w:tr>
      <w:tr w:rsidR="00B30F8A" w:rsidRPr="00316077" w14:paraId="735DE270" w14:textId="77777777" w:rsidTr="00475F7F">
        <w:trPr>
          <w:trHeight w:val="548"/>
        </w:trPr>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7C659" w14:textId="77777777" w:rsidR="00B30F8A" w:rsidRPr="00316077" w:rsidRDefault="00B30F8A" w:rsidP="00475F7F">
            <w:pPr>
              <w:rPr>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107D8" w14:textId="77777777" w:rsidR="00B30F8A" w:rsidRPr="00316077" w:rsidRDefault="00B30F8A" w:rsidP="00475F7F">
            <w:pPr>
              <w:jc w:val="both"/>
              <w:rPr>
                <w:sz w:val="20"/>
                <w:szCs w:val="20"/>
              </w:rPr>
            </w:pPr>
            <w:r w:rsidRPr="00316077">
              <w:rPr>
                <w:sz w:val="20"/>
                <w:szCs w:val="20"/>
              </w:rPr>
              <w:t>Indicator 2.2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6B632" w14:textId="77777777" w:rsidR="00B30F8A" w:rsidRPr="00316077" w:rsidRDefault="00B30F8A" w:rsidP="00475F7F">
            <w:pPr>
              <w:pStyle w:val="Bulletlevel1"/>
              <w:numPr>
                <w:ilvl w:val="0"/>
                <w:numId w:val="0"/>
              </w:numPr>
            </w:pPr>
            <w:r w:rsidRPr="00316077">
              <w:rPr>
                <w:rFonts w:ascii="Times New Roman" w:hAnsi="Times New Roman"/>
                <w:sz w:val="20"/>
                <w:szCs w:val="20"/>
              </w:rPr>
              <w:t>Introduction of pro-poor financial products by commercial bank and/or mobile network operators (MNOs), resulting in an additional 40,000 clients obtaining access to a secure savings account.</w:t>
            </w:r>
            <w:r w:rsidRPr="00316077">
              <w:t xml:space="preserve">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88464" w14:textId="77777777" w:rsidR="00B30F8A" w:rsidRPr="00316077" w:rsidRDefault="00316077" w:rsidP="00316077">
            <w:pPr>
              <w:pStyle w:val="Bulletlevel1"/>
              <w:numPr>
                <w:ilvl w:val="0"/>
                <w:numId w:val="0"/>
              </w:numPr>
              <w:rPr>
                <w:rFonts w:ascii="Times New Roman" w:hAnsi="Times New Roman"/>
                <w:sz w:val="20"/>
                <w:szCs w:val="20"/>
              </w:rPr>
            </w:pPr>
            <w:r>
              <w:rPr>
                <w:rFonts w:ascii="Times New Roman" w:hAnsi="Times New Roman"/>
                <w:sz w:val="20"/>
                <w:szCs w:val="20"/>
              </w:rPr>
              <w:t>Yes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BBD48" w14:textId="77777777" w:rsidR="00B30F8A" w:rsidRPr="00316077" w:rsidRDefault="00316077" w:rsidP="00316077">
            <w:pPr>
              <w:numPr>
                <w:ilvl w:val="0"/>
                <w:numId w:val="20"/>
              </w:numPr>
              <w:tabs>
                <w:tab w:val="left" w:pos="140"/>
              </w:tabs>
              <w:suppressAutoHyphens w:val="0"/>
              <w:ind w:left="140" w:hanging="140"/>
              <w:textAlignment w:val="auto"/>
              <w:rPr>
                <w:sz w:val="20"/>
                <w:szCs w:val="20"/>
              </w:rPr>
            </w:pPr>
            <w:r w:rsidRPr="00316077">
              <w:rPr>
                <w:sz w:val="20"/>
                <w:szCs w:val="20"/>
              </w:rPr>
              <w:t xml:space="preserve">Launch of the first </w:t>
            </w:r>
            <w:hyperlink r:id="rId16" w:history="1">
              <w:r w:rsidRPr="00316077">
                <w:rPr>
                  <w:sz w:val="20"/>
                  <w:szCs w:val="20"/>
                </w:rPr>
                <w:t>Digital financial services product in Timor-Leste, Dec 04, 2014</w:t>
              </w:r>
            </w:hyperlink>
            <w:r w:rsidRPr="00316077">
              <w:rPr>
                <w:sz w:val="20"/>
                <w:szCs w:val="20"/>
              </w:rPr>
              <w:t xml:space="preserve"> called BNU Mobile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93B8A" w14:textId="77777777" w:rsidR="00B30F8A" w:rsidRPr="00316077" w:rsidRDefault="00B30F8A" w:rsidP="00475F7F">
            <w:pPr>
              <w:rPr>
                <w:sz w:val="20"/>
                <w:szCs w:val="20"/>
              </w:rPr>
            </w:pPr>
          </w:p>
        </w:tc>
      </w:tr>
      <w:tr w:rsidR="00B30F8A" w:rsidRPr="00316077" w14:paraId="588E5B48" w14:textId="77777777" w:rsidTr="00475F7F">
        <w:trPr>
          <w:trHeight w:val="141"/>
        </w:trPr>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4E390" w14:textId="77777777" w:rsidR="00B30F8A" w:rsidRPr="00316077" w:rsidRDefault="00B30F8A" w:rsidP="00475F7F">
            <w:pPr>
              <w:rPr>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F556" w14:textId="77777777" w:rsidR="00B30F8A" w:rsidRPr="00316077" w:rsidRDefault="00B30F8A" w:rsidP="00475F7F">
            <w:pPr>
              <w:jc w:val="both"/>
              <w:rPr>
                <w:sz w:val="20"/>
                <w:szCs w:val="20"/>
              </w:rPr>
            </w:pPr>
            <w:r w:rsidRPr="00316077">
              <w:rPr>
                <w:sz w:val="20"/>
                <w:szCs w:val="20"/>
              </w:rPr>
              <w:t>Indicator 2.3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2BEFB" w14:textId="77777777" w:rsidR="00B30F8A" w:rsidRPr="00316077" w:rsidRDefault="00B30F8A" w:rsidP="00475F7F">
            <w:r w:rsidRPr="00316077">
              <w:rPr>
                <w:b/>
                <w:sz w:val="20"/>
                <w:szCs w:val="20"/>
              </w:rPr>
              <w:t>INFUSE-supported</w:t>
            </w:r>
            <w:r w:rsidRPr="00316077">
              <w:rPr>
                <w:sz w:val="20"/>
                <w:szCs w:val="20"/>
              </w:rPr>
              <w:t xml:space="preserve"> MFIs have achieved financial break-even (Financial Self Sufficiency (FSS) &gt;= 100%) by project end</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57BC0" w14:textId="77777777" w:rsidR="00B30F8A" w:rsidRPr="00316077" w:rsidRDefault="00EC7869" w:rsidP="00475F7F">
            <w:pPr>
              <w:rPr>
                <w:sz w:val="20"/>
                <w:szCs w:val="20"/>
              </w:rPr>
            </w:pPr>
            <w:r>
              <w:rPr>
                <w:sz w:val="20"/>
                <w:szCs w:val="20"/>
              </w:rPr>
              <w:t>Yes</w:t>
            </w:r>
          </w:p>
          <w:p w14:paraId="33C9430D" w14:textId="77777777" w:rsidR="00B30F8A" w:rsidRPr="00316077" w:rsidRDefault="00B30F8A" w:rsidP="00475F7F">
            <w:pPr>
              <w:rPr>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E1C71" w14:textId="77777777" w:rsidR="00B30F8A" w:rsidRDefault="00B30F8A" w:rsidP="00475F7F">
            <w:pPr>
              <w:pStyle w:val="Bulletlevel1"/>
              <w:numPr>
                <w:ilvl w:val="0"/>
                <w:numId w:val="0"/>
              </w:numPr>
              <w:ind w:left="360" w:hanging="360"/>
              <w:rPr>
                <w:rFonts w:ascii="Times New Roman" w:hAnsi="Times New Roman"/>
                <w:sz w:val="20"/>
                <w:szCs w:val="20"/>
              </w:rPr>
            </w:pPr>
            <w:r w:rsidRPr="00316077">
              <w:rPr>
                <w:rFonts w:ascii="Times New Roman" w:hAnsi="Times New Roman"/>
                <w:sz w:val="20"/>
                <w:szCs w:val="20"/>
              </w:rPr>
              <w:t>Operating Self-Sufficiency (OSS)</w:t>
            </w:r>
          </w:p>
          <w:p w14:paraId="5D360945" w14:textId="77777777" w:rsidR="00EC7869" w:rsidRDefault="00B30F8A" w:rsidP="00EC7869">
            <w:pPr>
              <w:pStyle w:val="ListParagraph"/>
              <w:numPr>
                <w:ilvl w:val="0"/>
                <w:numId w:val="22"/>
              </w:numPr>
              <w:ind w:left="185" w:hanging="185"/>
              <w:rPr>
                <w:sz w:val="20"/>
                <w:szCs w:val="20"/>
              </w:rPr>
            </w:pPr>
            <w:r w:rsidRPr="00316077">
              <w:rPr>
                <w:sz w:val="20"/>
                <w:szCs w:val="20"/>
              </w:rPr>
              <w:t>MR</w:t>
            </w:r>
            <w:r w:rsidR="00EC7869">
              <w:rPr>
                <w:sz w:val="20"/>
                <w:szCs w:val="20"/>
              </w:rPr>
              <w:t xml:space="preserve"> reports 122.17% as of Dec 2013</w:t>
            </w:r>
            <w:r w:rsidRPr="00316077">
              <w:rPr>
                <w:sz w:val="20"/>
                <w:szCs w:val="20"/>
              </w:rPr>
              <w:t xml:space="preserve"> and </w:t>
            </w:r>
            <w:r w:rsidR="00EC7869">
              <w:rPr>
                <w:sz w:val="20"/>
                <w:szCs w:val="20"/>
              </w:rPr>
              <w:t>TRM reports 121.95% as of Dec 2014</w:t>
            </w:r>
          </w:p>
          <w:p w14:paraId="7D0E7D52" w14:textId="77777777" w:rsidR="00B30F8A" w:rsidRPr="00316077" w:rsidRDefault="00EC7869" w:rsidP="00EC7869">
            <w:pPr>
              <w:pStyle w:val="ListParagraph"/>
              <w:numPr>
                <w:ilvl w:val="0"/>
                <w:numId w:val="22"/>
              </w:numPr>
              <w:ind w:left="185" w:hanging="185"/>
              <w:rPr>
                <w:sz w:val="20"/>
                <w:szCs w:val="20"/>
              </w:rPr>
            </w:pPr>
            <w:r>
              <w:rPr>
                <w:sz w:val="20"/>
                <w:szCs w:val="20"/>
              </w:rPr>
              <w:t>MR and T</w:t>
            </w:r>
            <w:r w:rsidR="00B30F8A" w:rsidRPr="00316077">
              <w:rPr>
                <w:sz w:val="20"/>
                <w:szCs w:val="20"/>
              </w:rPr>
              <w:t>RM access now mostly commercial refinancing, very little concessional</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AAA27" w14:textId="77777777" w:rsidR="00B30F8A" w:rsidRPr="00316077" w:rsidRDefault="00B30F8A" w:rsidP="00475F7F">
            <w:pPr>
              <w:rPr>
                <w:sz w:val="20"/>
                <w:szCs w:val="20"/>
              </w:rPr>
            </w:pPr>
          </w:p>
        </w:tc>
      </w:tr>
      <w:tr w:rsidR="00B30F8A" w:rsidRPr="00316077" w14:paraId="09B9BF03" w14:textId="77777777" w:rsidTr="00475F7F">
        <w:trPr>
          <w:trHeight w:val="548"/>
        </w:trPr>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0AD13" w14:textId="77777777" w:rsidR="00B30F8A" w:rsidRPr="00316077" w:rsidRDefault="00B30F8A" w:rsidP="00475F7F">
            <w:pPr>
              <w:rPr>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C9C86" w14:textId="77777777" w:rsidR="00B30F8A" w:rsidRPr="00316077" w:rsidRDefault="00B30F8A" w:rsidP="00475F7F">
            <w:pPr>
              <w:jc w:val="both"/>
              <w:rPr>
                <w:sz w:val="20"/>
                <w:szCs w:val="20"/>
              </w:rPr>
            </w:pPr>
            <w:r w:rsidRPr="00316077">
              <w:rPr>
                <w:sz w:val="20"/>
                <w:szCs w:val="20"/>
              </w:rPr>
              <w:t>Indicator 2.4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DACBA" w14:textId="77777777" w:rsidR="00B30F8A" w:rsidRPr="00316077" w:rsidRDefault="00B30F8A" w:rsidP="00475F7F">
            <w:pPr>
              <w:pStyle w:val="TableText"/>
              <w:spacing w:before="0"/>
            </w:pPr>
            <w:r w:rsidRPr="00316077">
              <w:rPr>
                <w:rFonts w:ascii="Times New Roman" w:hAnsi="Times New Roman"/>
                <w:b/>
              </w:rPr>
              <w:t>INFUSE-supported</w:t>
            </w:r>
            <w:r w:rsidRPr="00316077">
              <w:rPr>
                <w:rFonts w:ascii="Times New Roman" w:hAnsi="Times New Roman"/>
              </w:rPr>
              <w:t xml:space="preserve"> financially self-sufficient MFIs maintain an average PaR (30 days) of no more than 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832B6" w14:textId="77777777" w:rsidR="00B30F8A" w:rsidRPr="00316077" w:rsidRDefault="00EC7869" w:rsidP="00EC7869">
            <w:pPr>
              <w:pStyle w:val="Bulletlevel1"/>
              <w:numPr>
                <w:ilvl w:val="0"/>
                <w:numId w:val="0"/>
              </w:numPr>
              <w:ind w:left="-39" w:hanging="360"/>
              <w:rPr>
                <w:rFonts w:ascii="Times New Roman" w:hAnsi="Times New Roman"/>
                <w:sz w:val="20"/>
                <w:szCs w:val="20"/>
              </w:rPr>
            </w:pPr>
            <w:r>
              <w:rPr>
                <w:rFonts w:ascii="Times New Roman" w:hAnsi="Times New Roman"/>
                <w:sz w:val="20"/>
                <w:szCs w:val="20"/>
              </w:rPr>
              <w:t>1 oYes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E5378" w14:textId="77777777" w:rsidR="00B30F8A" w:rsidRPr="00316077" w:rsidRDefault="00B30F8A" w:rsidP="00475F7F">
            <w:pPr>
              <w:pStyle w:val="ListParagraph"/>
              <w:numPr>
                <w:ilvl w:val="0"/>
                <w:numId w:val="22"/>
              </w:numPr>
              <w:ind w:left="185" w:hanging="185"/>
              <w:rPr>
                <w:sz w:val="20"/>
                <w:szCs w:val="20"/>
              </w:rPr>
            </w:pPr>
            <w:r w:rsidRPr="00316077">
              <w:rPr>
                <w:sz w:val="20"/>
                <w:szCs w:val="20"/>
              </w:rPr>
              <w:t xml:space="preserve">TRM PAR from Dec 2008 to </w:t>
            </w:r>
            <w:r w:rsidR="00EC7869">
              <w:rPr>
                <w:sz w:val="20"/>
                <w:szCs w:val="20"/>
              </w:rPr>
              <w:t>December 2014 decreased 9.2% to 2.28</w:t>
            </w:r>
            <w:r w:rsidRPr="00316077">
              <w:rPr>
                <w:sz w:val="20"/>
                <w:szCs w:val="20"/>
              </w:rPr>
              <w:t>%</w:t>
            </w:r>
          </w:p>
          <w:p w14:paraId="20D51D41" w14:textId="77777777" w:rsidR="00B30F8A" w:rsidRPr="00316077" w:rsidRDefault="00B30F8A" w:rsidP="00EC7869">
            <w:pPr>
              <w:pStyle w:val="ListParagraph"/>
              <w:numPr>
                <w:ilvl w:val="0"/>
                <w:numId w:val="22"/>
              </w:numPr>
              <w:ind w:left="185" w:hanging="185"/>
              <w:rPr>
                <w:sz w:val="20"/>
                <w:szCs w:val="20"/>
              </w:rPr>
            </w:pPr>
            <w:r w:rsidRPr="00316077">
              <w:rPr>
                <w:sz w:val="20"/>
                <w:szCs w:val="20"/>
              </w:rPr>
              <w:t xml:space="preserve">Moris Rasik PAR </w:t>
            </w:r>
            <w:r w:rsidR="00EC7869">
              <w:rPr>
                <w:sz w:val="20"/>
                <w:szCs w:val="20"/>
              </w:rPr>
              <w:t>mainted 4.44% as of December 2013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0076E" w14:textId="77777777" w:rsidR="00B30F8A" w:rsidRPr="00316077" w:rsidRDefault="00B30F8A" w:rsidP="00475F7F">
            <w:pPr>
              <w:rPr>
                <w:sz w:val="20"/>
                <w:szCs w:val="20"/>
              </w:rPr>
            </w:pPr>
          </w:p>
        </w:tc>
      </w:tr>
      <w:tr w:rsidR="00B30F8A" w:rsidRPr="00316077" w14:paraId="703A469A" w14:textId="77777777" w:rsidTr="00475F7F">
        <w:trPr>
          <w:trHeight w:val="548"/>
        </w:trPr>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18479" w14:textId="77777777" w:rsidR="00B30F8A" w:rsidRPr="00316077" w:rsidRDefault="00B30F8A" w:rsidP="00475F7F">
            <w:pPr>
              <w:rPr>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3DA25" w14:textId="77777777" w:rsidR="00B30F8A" w:rsidRPr="00316077" w:rsidRDefault="00B30F8A" w:rsidP="00475F7F">
            <w:pPr>
              <w:jc w:val="both"/>
              <w:rPr>
                <w:sz w:val="20"/>
                <w:szCs w:val="20"/>
              </w:rPr>
            </w:pPr>
            <w:r w:rsidRPr="00316077">
              <w:rPr>
                <w:sz w:val="20"/>
                <w:szCs w:val="20"/>
              </w:rPr>
              <w:t>Indicator 2.5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47C28" w14:textId="77777777" w:rsidR="00B30F8A" w:rsidRPr="00316077" w:rsidRDefault="00B30F8A" w:rsidP="00475F7F">
            <w:pPr>
              <w:pStyle w:val="TableText"/>
              <w:spacing w:before="0"/>
            </w:pPr>
            <w:r w:rsidRPr="00316077">
              <w:rPr>
                <w:rFonts w:ascii="Times New Roman" w:hAnsi="Times New Roman" w:cs="Times New Roman"/>
              </w:rPr>
              <w:t>Increase in the number of access points of all Financial Service Providers (FSPs) from baseline to be established at end 2009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BE5A4" w14:textId="77777777" w:rsidR="00B30F8A" w:rsidRPr="00316077" w:rsidRDefault="00EC7869" w:rsidP="00475F7F">
            <w:pPr>
              <w:pStyle w:val="TableText"/>
              <w:spacing w:before="0"/>
            </w:pPr>
            <w:r>
              <w:rPr>
                <w:rFonts w:ascii="Times New Roman" w:hAnsi="Times New Roman" w:cs="Times New Roman"/>
              </w:rPr>
              <w:t>Yes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5BFFD" w14:textId="77777777" w:rsidR="00B30F8A" w:rsidRPr="00316077" w:rsidRDefault="00B30F8A" w:rsidP="00475F7F">
            <w:pPr>
              <w:pStyle w:val="Bulletlevel1"/>
              <w:numPr>
                <w:ilvl w:val="0"/>
                <w:numId w:val="20"/>
              </w:numPr>
              <w:tabs>
                <w:tab w:val="left" w:pos="144"/>
              </w:tabs>
              <w:ind w:left="144" w:hanging="144"/>
              <w:rPr>
                <w:rFonts w:ascii="Times New Roman" w:hAnsi="Times New Roman"/>
                <w:sz w:val="20"/>
                <w:szCs w:val="20"/>
              </w:rPr>
            </w:pPr>
            <w:r w:rsidRPr="00316077">
              <w:rPr>
                <w:rFonts w:ascii="Times New Roman" w:hAnsi="Times New Roman"/>
                <w:sz w:val="20"/>
                <w:szCs w:val="20"/>
              </w:rPr>
              <w:t>MFI penetration and branch targets achieved in Dec 2010</w:t>
            </w:r>
          </w:p>
          <w:p w14:paraId="7693069A" w14:textId="77777777" w:rsidR="00B30F8A" w:rsidRPr="00316077" w:rsidRDefault="00B30F8A" w:rsidP="00EC7869">
            <w:pPr>
              <w:pStyle w:val="Bulletlevel1"/>
              <w:numPr>
                <w:ilvl w:val="0"/>
                <w:numId w:val="20"/>
              </w:numPr>
              <w:tabs>
                <w:tab w:val="left" w:pos="144"/>
              </w:tabs>
              <w:ind w:left="144" w:hanging="144"/>
            </w:pPr>
            <w:r w:rsidRPr="00316077">
              <w:rPr>
                <w:rFonts w:ascii="Times New Roman" w:hAnsi="Times New Roman"/>
                <w:sz w:val="20"/>
                <w:szCs w:val="20"/>
              </w:rPr>
              <w:t xml:space="preserve">INFUSE </w:t>
            </w:r>
            <w:r w:rsidR="00EC7869">
              <w:rPr>
                <w:rFonts w:ascii="Times New Roman" w:hAnsi="Times New Roman"/>
                <w:sz w:val="20"/>
                <w:szCs w:val="20"/>
              </w:rPr>
              <w:t xml:space="preserve">updated </w:t>
            </w:r>
            <w:r w:rsidRPr="00316077">
              <w:rPr>
                <w:rFonts w:ascii="Times New Roman" w:hAnsi="Times New Roman"/>
                <w:sz w:val="20"/>
                <w:szCs w:val="20"/>
              </w:rPr>
              <w:t xml:space="preserve">in March 2014 the data for access points of all FSPs in 2013 to compare to baseline established at 31 Dec 2009.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13CE8" w14:textId="77777777" w:rsidR="00B30F8A" w:rsidRPr="00316077" w:rsidRDefault="00B30F8A" w:rsidP="00475F7F">
            <w:pPr>
              <w:rPr>
                <w:sz w:val="20"/>
                <w:szCs w:val="20"/>
              </w:rPr>
            </w:pPr>
          </w:p>
        </w:tc>
      </w:tr>
      <w:tr w:rsidR="00B30F8A" w:rsidRPr="00316077" w14:paraId="25C737D1" w14:textId="77777777" w:rsidTr="00475F7F">
        <w:trPr>
          <w:trHeight w:val="548"/>
        </w:trPr>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3763D" w14:textId="77777777" w:rsidR="00B30F8A" w:rsidRPr="00316077" w:rsidRDefault="00B30F8A" w:rsidP="00475F7F">
            <w:pPr>
              <w:rPr>
                <w:b/>
                <w:sz w:val="20"/>
                <w:szCs w:val="20"/>
              </w:rPr>
            </w:pPr>
            <w:r w:rsidRPr="00316077">
              <w:rPr>
                <w:b/>
                <w:sz w:val="20"/>
                <w:szCs w:val="20"/>
              </w:rPr>
              <w:t>Output 3</w:t>
            </w:r>
          </w:p>
          <w:p w14:paraId="2DCBBD94" w14:textId="77777777" w:rsidR="00B30F8A" w:rsidRPr="00316077" w:rsidRDefault="00B30F8A" w:rsidP="00475F7F">
            <w:pPr>
              <w:pStyle w:val="Header"/>
              <w:spacing w:before="120" w:after="120"/>
              <w:rPr>
                <w:b/>
                <w:bCs/>
                <w:sz w:val="20"/>
                <w:szCs w:val="20"/>
              </w:rPr>
            </w:pPr>
            <w:r w:rsidRPr="00316077">
              <w:rPr>
                <w:b/>
                <w:bCs/>
                <w:sz w:val="20"/>
                <w:szCs w:val="20"/>
              </w:rPr>
              <w:t>Enhanced business service infrastructures for the financial sector</w:t>
            </w:r>
          </w:p>
          <w:p w14:paraId="7C34B22D" w14:textId="77777777" w:rsidR="00B30F8A" w:rsidRPr="00316077" w:rsidRDefault="00B30F8A" w:rsidP="00475F7F">
            <w:pPr>
              <w:rPr>
                <w:sz w:val="20"/>
                <w:szCs w:val="20"/>
              </w:rPr>
            </w:pPr>
            <w:r w:rsidRPr="00316077">
              <w:rPr>
                <w:sz w:val="20"/>
                <w:szCs w:val="20"/>
              </w:rPr>
              <w:t xml:space="preserve">Private and public business service providers offering high-quality and market-responsive services to the financial sector are </w:t>
            </w:r>
            <w:r w:rsidRPr="00316077">
              <w:rPr>
                <w:sz w:val="20"/>
                <w:szCs w:val="20"/>
              </w:rPr>
              <w:lastRenderedPageBreak/>
              <w:t>available in Timor-Leste, and a professional microfinance association (AMFITIL) is effectively representing the industry in policy dialogues, serving as an information hub for members and the public.</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45945" w14:textId="77777777" w:rsidR="00B30F8A" w:rsidRPr="00316077" w:rsidRDefault="00B30F8A" w:rsidP="00475F7F">
            <w:pPr>
              <w:jc w:val="both"/>
              <w:rPr>
                <w:sz w:val="20"/>
                <w:szCs w:val="20"/>
              </w:rPr>
            </w:pPr>
            <w:r w:rsidRPr="00316077">
              <w:rPr>
                <w:sz w:val="20"/>
                <w:szCs w:val="20"/>
              </w:rPr>
              <w:lastRenderedPageBreak/>
              <w:t>Indicator  3.1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1555B" w14:textId="77777777" w:rsidR="00B30F8A" w:rsidRPr="00316077" w:rsidRDefault="00B30F8A" w:rsidP="00475F7F">
            <w:pPr>
              <w:rPr>
                <w:sz w:val="20"/>
                <w:szCs w:val="20"/>
              </w:rPr>
            </w:pPr>
            <w:r w:rsidRPr="00316077">
              <w:rPr>
                <w:sz w:val="20"/>
                <w:szCs w:val="20"/>
              </w:rPr>
              <w:t xml:space="preserve">Competency framework and corresponding learning guides available for use by local training service providers to be able to deliver technical training for microfinance and banking to the financial sector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43AC3" w14:textId="77777777" w:rsidR="00B30F8A" w:rsidRPr="00316077" w:rsidRDefault="00EC7869" w:rsidP="00475F7F">
            <w:pPr>
              <w:pStyle w:val="Bulletlevel1"/>
              <w:numPr>
                <w:ilvl w:val="0"/>
                <w:numId w:val="0"/>
              </w:numPr>
              <w:ind w:left="360" w:hanging="360"/>
              <w:rPr>
                <w:rFonts w:ascii="Times New Roman" w:hAnsi="Times New Roman"/>
                <w:sz w:val="20"/>
                <w:szCs w:val="20"/>
              </w:rPr>
            </w:pPr>
            <w:r>
              <w:rPr>
                <w:rFonts w:ascii="Times New Roman" w:hAnsi="Times New Roman"/>
                <w:sz w:val="20"/>
                <w:szCs w:val="20"/>
              </w:rPr>
              <w:t>No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EEEE2" w14:textId="77777777" w:rsidR="00B30F8A" w:rsidRPr="00316077" w:rsidRDefault="00B30F8A" w:rsidP="00475F7F">
            <w:pPr>
              <w:pStyle w:val="Bulletlevel1"/>
              <w:tabs>
                <w:tab w:val="left" w:pos="145"/>
              </w:tabs>
              <w:ind w:left="145" w:hanging="184"/>
            </w:pPr>
            <w:r w:rsidRPr="00316077">
              <w:rPr>
                <w:rFonts w:ascii="Times New Roman" w:hAnsi="Times New Roman"/>
                <w:sz w:val="20"/>
                <w:szCs w:val="20"/>
              </w:rPr>
              <w:t>National Labor Development Institute (INDMO) approved the framework of competencies in October 2011</w:t>
            </w:r>
          </w:p>
          <w:p w14:paraId="63DF15BD" w14:textId="77777777" w:rsidR="00B30F8A" w:rsidRPr="00316077" w:rsidRDefault="00B30F8A" w:rsidP="00475F7F">
            <w:pPr>
              <w:pStyle w:val="Bulletlevel1"/>
              <w:tabs>
                <w:tab w:val="left" w:pos="145"/>
              </w:tabs>
              <w:ind w:left="145" w:hanging="184"/>
            </w:pPr>
            <w:r w:rsidRPr="00316077">
              <w:rPr>
                <w:rFonts w:ascii="Times New Roman" w:hAnsi="Times New Roman"/>
                <w:sz w:val="20"/>
                <w:szCs w:val="20"/>
              </w:rPr>
              <w:t>Scoping mission undertaken on the implementation of the Certificate with report delivered in November 2013:</w:t>
            </w:r>
            <w:r w:rsidR="00EC7869">
              <w:rPr>
                <w:rFonts w:ascii="Times New Roman" w:hAnsi="Times New Roman"/>
                <w:sz w:val="20"/>
                <w:szCs w:val="20"/>
              </w:rPr>
              <w:t xml:space="preserve"> Determined that no business case existed for offering</w:t>
            </w:r>
          </w:p>
          <w:p w14:paraId="0051D200" w14:textId="77777777" w:rsidR="00B30F8A" w:rsidRPr="00316077" w:rsidRDefault="00B30F8A" w:rsidP="00475F7F">
            <w:pPr>
              <w:rPr>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1F169" w14:textId="77777777" w:rsidR="00B30F8A" w:rsidRPr="00316077" w:rsidRDefault="00B30F8A" w:rsidP="00475F7F">
            <w:pPr>
              <w:pStyle w:val="Default"/>
              <w:jc w:val="both"/>
              <w:rPr>
                <w:rFonts w:ascii="Times New Roman" w:eastAsia="Times New Roman" w:hAnsi="Times New Roman" w:cs="Times New Roman"/>
                <w:color w:val="auto"/>
                <w:sz w:val="20"/>
                <w:szCs w:val="20"/>
              </w:rPr>
            </w:pPr>
            <w:r w:rsidRPr="00316077">
              <w:rPr>
                <w:rFonts w:ascii="Times New Roman" w:eastAsia="Times New Roman" w:hAnsi="Times New Roman" w:cs="Times New Roman"/>
                <w:color w:val="auto"/>
                <w:sz w:val="20"/>
                <w:szCs w:val="20"/>
              </w:rPr>
              <w:t>Limited demand demonstrated by the scoping mission, no interest from foreign banks</w:t>
            </w:r>
          </w:p>
        </w:tc>
      </w:tr>
      <w:tr w:rsidR="00B30F8A" w:rsidRPr="00316077" w14:paraId="240E81D0" w14:textId="77777777" w:rsidTr="00475F7F">
        <w:trPr>
          <w:trHeight w:val="512"/>
        </w:trPr>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519A6" w14:textId="77777777" w:rsidR="00B30F8A" w:rsidRPr="00316077" w:rsidRDefault="00B30F8A" w:rsidP="00475F7F">
            <w:pPr>
              <w:rPr>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5F582" w14:textId="77777777" w:rsidR="00B30F8A" w:rsidRPr="00316077" w:rsidRDefault="00B30F8A" w:rsidP="00475F7F">
            <w:pPr>
              <w:jc w:val="both"/>
              <w:rPr>
                <w:sz w:val="20"/>
                <w:szCs w:val="20"/>
              </w:rPr>
            </w:pPr>
            <w:r w:rsidRPr="00316077">
              <w:rPr>
                <w:sz w:val="20"/>
                <w:szCs w:val="20"/>
              </w:rPr>
              <w:t>Indicator 3.2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84DE7" w14:textId="77777777" w:rsidR="00B30F8A" w:rsidRPr="00316077" w:rsidRDefault="00B30F8A" w:rsidP="00475F7F">
            <w:r w:rsidRPr="00316077">
              <w:rPr>
                <w:sz w:val="20"/>
                <w:szCs w:val="20"/>
              </w:rPr>
              <w:t>Financial education is promoted through research, social marketing tools and/or activities of local service providers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149F2" w14:textId="77777777" w:rsidR="00B30F8A" w:rsidRPr="00316077" w:rsidRDefault="00EC7869" w:rsidP="00475F7F">
            <w:pPr>
              <w:pStyle w:val="BodyText2"/>
              <w:rPr>
                <w:rFonts w:ascii="Times New Roman" w:hAnsi="Times New Roman" w:cs="Times New Roman"/>
              </w:rPr>
            </w:pPr>
            <w:r>
              <w:rPr>
                <w:rFonts w:ascii="Times New Roman" w:hAnsi="Times New Roman" w:cs="Times New Roman"/>
              </w:rPr>
              <w:t>No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E9723" w14:textId="77777777" w:rsidR="00B30F8A" w:rsidRPr="00316077" w:rsidRDefault="00B30F8A" w:rsidP="00475F7F">
            <w:pPr>
              <w:pStyle w:val="Bulletlevel1"/>
              <w:tabs>
                <w:tab w:val="left" w:pos="145"/>
              </w:tabs>
              <w:ind w:left="145" w:hanging="184"/>
            </w:pPr>
            <w:r w:rsidRPr="00316077">
              <w:rPr>
                <w:rFonts w:ascii="Times New Roman" w:hAnsi="Times New Roman"/>
                <w:sz w:val="20"/>
                <w:szCs w:val="20"/>
              </w:rPr>
              <w:t xml:space="preserve">INFUSE consultant conducted financial education scoping assessment in August 2010, as first step to developing a wider programme. </w:t>
            </w:r>
          </w:p>
          <w:p w14:paraId="1AD90BD5" w14:textId="77777777" w:rsidR="00B30F8A" w:rsidRPr="00316077" w:rsidRDefault="00B30F8A" w:rsidP="00475F7F">
            <w:pPr>
              <w:rPr>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7B66F" w14:textId="77777777" w:rsidR="00B30F8A" w:rsidRPr="00316077" w:rsidRDefault="00EC7869" w:rsidP="00475F7F">
            <w:pPr>
              <w:rPr>
                <w:sz w:val="20"/>
                <w:szCs w:val="20"/>
              </w:rPr>
            </w:pPr>
            <w:r>
              <w:rPr>
                <w:sz w:val="20"/>
                <w:szCs w:val="20"/>
              </w:rPr>
              <w:t>Central Bank decided to launch own programme without INFUSE support</w:t>
            </w:r>
          </w:p>
        </w:tc>
      </w:tr>
      <w:tr w:rsidR="00B30F8A" w:rsidRPr="00316077" w14:paraId="54CF40D8" w14:textId="77777777" w:rsidTr="00475F7F">
        <w:trPr>
          <w:trHeight w:val="512"/>
        </w:trPr>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6D8F6" w14:textId="77777777" w:rsidR="00B30F8A" w:rsidRPr="00316077" w:rsidRDefault="00B30F8A" w:rsidP="00475F7F">
            <w:pPr>
              <w:rPr>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E2B63" w14:textId="77777777" w:rsidR="00B30F8A" w:rsidRPr="00316077" w:rsidRDefault="00B30F8A" w:rsidP="00475F7F">
            <w:pPr>
              <w:jc w:val="both"/>
              <w:rPr>
                <w:sz w:val="20"/>
                <w:szCs w:val="20"/>
              </w:rPr>
            </w:pPr>
            <w:r w:rsidRPr="00316077">
              <w:rPr>
                <w:sz w:val="20"/>
                <w:szCs w:val="20"/>
              </w:rPr>
              <w:t>Indicator 3.3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33C85" w14:textId="77777777" w:rsidR="00B30F8A" w:rsidRPr="00316077" w:rsidRDefault="00B30F8A" w:rsidP="00475F7F">
            <w:pPr>
              <w:rPr>
                <w:sz w:val="20"/>
                <w:szCs w:val="20"/>
              </w:rPr>
            </w:pPr>
            <w:r w:rsidRPr="00316077">
              <w:rPr>
                <w:sz w:val="20"/>
                <w:szCs w:val="20"/>
              </w:rPr>
              <w:t>Private sector entity makes Microinsurance products available  for sale to MFI clients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5A610" w14:textId="77777777" w:rsidR="00B30F8A" w:rsidRPr="00316077" w:rsidRDefault="00EC7869" w:rsidP="00475F7F">
            <w:pPr>
              <w:rPr>
                <w:sz w:val="20"/>
                <w:szCs w:val="20"/>
              </w:rPr>
            </w:pPr>
            <w:r>
              <w:rPr>
                <w:sz w:val="20"/>
                <w:szCs w:val="20"/>
              </w:rPr>
              <w:t>Yes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0954C" w14:textId="77777777" w:rsidR="00B30F8A" w:rsidRPr="00316077" w:rsidRDefault="00B30F8A" w:rsidP="00475F7F">
            <w:pPr>
              <w:pStyle w:val="Bulletlevel1"/>
              <w:tabs>
                <w:tab w:val="left" w:pos="145"/>
              </w:tabs>
              <w:ind w:left="145" w:hanging="184"/>
            </w:pPr>
            <w:r w:rsidRPr="00316077">
              <w:rPr>
                <w:rFonts w:ascii="Times New Roman" w:hAnsi="Times New Roman"/>
                <w:sz w:val="20"/>
                <w:szCs w:val="20"/>
              </w:rPr>
              <w:t>As of Dec 2012 14,150 lives are covered through the credit life insurance underwritten by insurer NTIL and distributed by MR and TRM</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C4426" w14:textId="77777777" w:rsidR="00B30F8A" w:rsidRPr="00316077" w:rsidRDefault="00B30F8A" w:rsidP="00475F7F">
            <w:pPr>
              <w:rPr>
                <w:sz w:val="20"/>
                <w:szCs w:val="20"/>
              </w:rPr>
            </w:pPr>
          </w:p>
        </w:tc>
      </w:tr>
      <w:tr w:rsidR="00B30F8A" w:rsidRPr="00F34D9B" w14:paraId="27337EEB" w14:textId="77777777" w:rsidTr="00475F7F">
        <w:trPr>
          <w:trHeight w:val="1246"/>
        </w:trPr>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77802" w14:textId="77777777" w:rsidR="00B30F8A" w:rsidRPr="00316077" w:rsidRDefault="00B30F8A" w:rsidP="00475F7F">
            <w:pPr>
              <w:rPr>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3C0E4" w14:textId="77777777" w:rsidR="00B30F8A" w:rsidRPr="00316077" w:rsidRDefault="00B30F8A" w:rsidP="00475F7F">
            <w:pPr>
              <w:jc w:val="both"/>
              <w:rPr>
                <w:sz w:val="20"/>
                <w:szCs w:val="20"/>
              </w:rPr>
            </w:pPr>
            <w:r w:rsidRPr="00316077">
              <w:rPr>
                <w:sz w:val="20"/>
                <w:szCs w:val="20"/>
              </w:rPr>
              <w:t>Indicator 3.4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BAE57" w14:textId="77777777" w:rsidR="00B30F8A" w:rsidRPr="00316077" w:rsidRDefault="00B30F8A" w:rsidP="00475F7F">
            <w:pPr>
              <w:pStyle w:val="TableText"/>
              <w:spacing w:before="0"/>
              <w:rPr>
                <w:rFonts w:ascii="Times New Roman" w:hAnsi="Times New Roman" w:cs="Times New Roman"/>
                <w:bCs/>
              </w:rPr>
            </w:pPr>
            <w:r w:rsidRPr="00316077">
              <w:rPr>
                <w:rFonts w:ascii="Times New Roman" w:hAnsi="Times New Roman" w:cs="Times New Roman"/>
                <w:bCs/>
              </w:rPr>
              <w:t xml:space="preserve">Credit registry available to FSPs in the market </w:t>
            </w:r>
          </w:p>
          <w:p w14:paraId="61EC0C55" w14:textId="77777777" w:rsidR="00B30F8A" w:rsidRPr="00316077" w:rsidRDefault="00B30F8A" w:rsidP="00475F7F">
            <w:pPr>
              <w:pStyle w:val="TableText"/>
              <w:spacing w:before="0"/>
              <w:rPr>
                <w:rFonts w:ascii="Times New Roman" w:hAnsi="Times New Roman" w:cs="Times New Roman"/>
                <w:bCs/>
              </w:rPr>
            </w:pPr>
            <w:r w:rsidRPr="00316077">
              <w:rPr>
                <w:rFonts w:ascii="Times New Roman" w:hAnsi="Times New Roman" w:cs="Times New Roman"/>
                <w:bCs/>
              </w:rPr>
              <w:t>and exploring potential for m-banking (cell phone transactions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1F2B8" w14:textId="77777777" w:rsidR="00B30F8A" w:rsidRPr="00316077" w:rsidRDefault="00B30F8A" w:rsidP="00475F7F">
            <w:pPr>
              <w:pStyle w:val="Bulletlevel1"/>
              <w:numPr>
                <w:ilvl w:val="0"/>
                <w:numId w:val="0"/>
              </w:numPr>
              <w:ind w:left="-39" w:hanging="360"/>
            </w:pPr>
            <w:r w:rsidRPr="00316077">
              <w:rPr>
                <w:rFonts w:ascii="Times New Roman" w:hAnsi="Times New Roman"/>
                <w:b/>
                <w:sz w:val="20"/>
                <w:szCs w:val="20"/>
              </w:rPr>
              <w:t>Credit Bureau was established in 2009</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94E84" w14:textId="77777777" w:rsidR="00B30F8A" w:rsidRPr="00316077" w:rsidRDefault="00B30F8A" w:rsidP="00475F7F">
            <w:pPr>
              <w:pStyle w:val="Bulletlevel1"/>
              <w:tabs>
                <w:tab w:val="left" w:pos="145"/>
              </w:tabs>
              <w:ind w:left="145" w:hanging="184"/>
              <w:rPr>
                <w:rFonts w:ascii="Times New Roman" w:hAnsi="Times New Roman"/>
                <w:sz w:val="20"/>
                <w:szCs w:val="20"/>
              </w:rPr>
            </w:pPr>
            <w:r w:rsidRPr="00316077">
              <w:rPr>
                <w:rFonts w:ascii="Times New Roman" w:hAnsi="Times New Roman"/>
                <w:sz w:val="20"/>
                <w:szCs w:val="20"/>
              </w:rPr>
              <w:t>TRM and MR can and must participate to credit bureau once they are licensed as ODTI.</w:t>
            </w:r>
          </w:p>
          <w:p w14:paraId="4375F758" w14:textId="77777777" w:rsidR="00B30F8A" w:rsidRPr="00316077" w:rsidRDefault="00B30F8A" w:rsidP="00475F7F">
            <w:pPr>
              <w:pStyle w:val="CommentSubject"/>
              <w:tabs>
                <w:tab w:val="left" w:pos="145"/>
              </w:tabs>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EB932" w14:textId="77777777" w:rsidR="00B30F8A" w:rsidRPr="00E81F0D" w:rsidRDefault="00B30F8A" w:rsidP="00475F7F">
            <w:pPr>
              <w:rPr>
                <w:sz w:val="20"/>
                <w:szCs w:val="20"/>
              </w:rPr>
            </w:pPr>
            <w:r w:rsidRPr="00316077">
              <w:rPr>
                <w:sz w:val="20"/>
                <w:szCs w:val="20"/>
              </w:rPr>
              <w:t>Credit registry is managed by the BCTL, and as of yet the MFIs do not participate as they need to be licensed as ODTIs to do so.</w:t>
            </w:r>
          </w:p>
        </w:tc>
      </w:tr>
    </w:tbl>
    <w:p w14:paraId="7D98C958" w14:textId="77777777" w:rsidR="00B30F8A" w:rsidRPr="00F34D9B" w:rsidRDefault="00B30F8A" w:rsidP="00B30F8A">
      <w:pPr>
        <w:pStyle w:val="BodyText"/>
        <w:ind w:firstLine="360"/>
        <w:rPr>
          <w:color w:val="9CC2E5" w:themeColor="accent1" w:themeTint="99"/>
        </w:rPr>
      </w:pPr>
    </w:p>
    <w:p w14:paraId="69713C36" w14:textId="77777777" w:rsidR="00B30F8A" w:rsidRDefault="00B30F8A" w:rsidP="00706241">
      <w:pPr>
        <w:suppressAutoHyphens w:val="0"/>
        <w:autoSpaceDE w:val="0"/>
        <w:jc w:val="both"/>
        <w:textAlignment w:val="auto"/>
        <w:rPr>
          <w:color w:val="9CC2E5" w:themeColor="accent1" w:themeTint="99"/>
        </w:rPr>
      </w:pPr>
    </w:p>
    <w:p w14:paraId="381FDE93" w14:textId="77777777" w:rsidR="00B30F8A" w:rsidRPr="00F34D9B" w:rsidRDefault="00B30F8A" w:rsidP="00706241">
      <w:pPr>
        <w:suppressAutoHyphens w:val="0"/>
        <w:autoSpaceDE w:val="0"/>
        <w:jc w:val="both"/>
        <w:textAlignment w:val="auto"/>
        <w:rPr>
          <w:color w:val="9CC2E5" w:themeColor="accent1" w:themeTint="99"/>
        </w:rPr>
      </w:pPr>
    </w:p>
    <w:p w14:paraId="39AA8A04" w14:textId="77777777" w:rsidR="00706241" w:rsidRDefault="00706241" w:rsidP="005F3E9B">
      <w:pPr>
        <w:pStyle w:val="Heading1"/>
        <w:tabs>
          <w:tab w:val="left" w:pos="360"/>
        </w:tabs>
        <w:suppressAutoHyphens w:val="0"/>
        <w:ind w:left="360"/>
        <w:jc w:val="left"/>
        <w:textAlignment w:val="auto"/>
        <w:rPr>
          <w:rFonts w:ascii="Times New Roman" w:hAnsi="Times New Roman"/>
          <w:sz w:val="24"/>
          <w:szCs w:val="24"/>
        </w:rPr>
      </w:pPr>
    </w:p>
    <w:p w14:paraId="5E7D8269" w14:textId="77777777" w:rsidR="00706241" w:rsidRDefault="00706241" w:rsidP="005F3E9B">
      <w:pPr>
        <w:pStyle w:val="Heading1"/>
        <w:tabs>
          <w:tab w:val="left" w:pos="360"/>
        </w:tabs>
        <w:suppressAutoHyphens w:val="0"/>
        <w:ind w:left="360"/>
        <w:jc w:val="left"/>
        <w:textAlignment w:val="auto"/>
        <w:rPr>
          <w:rFonts w:ascii="Times New Roman" w:hAnsi="Times New Roman"/>
          <w:sz w:val="24"/>
          <w:szCs w:val="24"/>
        </w:rPr>
      </w:pPr>
    </w:p>
    <w:p w14:paraId="1000D083" w14:textId="77777777" w:rsidR="00706241" w:rsidRDefault="00706241" w:rsidP="005F3E9B">
      <w:pPr>
        <w:pStyle w:val="Heading1"/>
        <w:tabs>
          <w:tab w:val="left" w:pos="360"/>
        </w:tabs>
        <w:suppressAutoHyphens w:val="0"/>
        <w:ind w:left="360"/>
        <w:jc w:val="left"/>
        <w:textAlignment w:val="auto"/>
        <w:rPr>
          <w:rFonts w:ascii="Times New Roman" w:hAnsi="Times New Roman"/>
          <w:sz w:val="24"/>
          <w:szCs w:val="24"/>
        </w:rPr>
      </w:pPr>
    </w:p>
    <w:p w14:paraId="0A4BE751" w14:textId="77777777" w:rsidR="002D15AE" w:rsidRDefault="002D15AE" w:rsidP="005F3E9B">
      <w:pPr>
        <w:pStyle w:val="Heading1"/>
        <w:tabs>
          <w:tab w:val="left" w:pos="360"/>
        </w:tabs>
        <w:suppressAutoHyphens w:val="0"/>
        <w:ind w:left="360"/>
        <w:jc w:val="left"/>
        <w:textAlignment w:val="auto"/>
        <w:rPr>
          <w:rFonts w:ascii="Times New Roman" w:hAnsi="Times New Roman"/>
          <w:sz w:val="24"/>
          <w:szCs w:val="24"/>
        </w:rPr>
        <w:sectPr w:rsidR="002D15AE" w:rsidSect="002D15AE">
          <w:pgSz w:w="15840" w:h="12240" w:orient="landscape"/>
          <w:pgMar w:top="634" w:right="1296" w:bottom="720" w:left="144" w:header="720" w:footer="720" w:gutter="0"/>
          <w:cols w:space="720"/>
          <w:docGrid w:linePitch="326"/>
        </w:sectPr>
      </w:pPr>
    </w:p>
    <w:p w14:paraId="1CF5CAF8" w14:textId="77777777" w:rsidR="00706241" w:rsidRDefault="00706241" w:rsidP="005F3E9B">
      <w:pPr>
        <w:pStyle w:val="Heading1"/>
        <w:tabs>
          <w:tab w:val="left" w:pos="360"/>
        </w:tabs>
        <w:suppressAutoHyphens w:val="0"/>
        <w:ind w:left="360"/>
        <w:jc w:val="left"/>
        <w:textAlignment w:val="auto"/>
        <w:rPr>
          <w:rFonts w:ascii="Times New Roman" w:hAnsi="Times New Roman"/>
          <w:sz w:val="24"/>
          <w:szCs w:val="24"/>
        </w:rPr>
      </w:pPr>
    </w:p>
    <w:p w14:paraId="1C785CF2" w14:textId="77777777" w:rsidR="00035340" w:rsidRDefault="0040272B">
      <w:pPr>
        <w:pStyle w:val="Heading1"/>
        <w:numPr>
          <w:ilvl w:val="0"/>
          <w:numId w:val="6"/>
        </w:numPr>
        <w:tabs>
          <w:tab w:val="left" w:pos="360"/>
        </w:tabs>
        <w:suppressAutoHyphens w:val="0"/>
        <w:ind w:left="360" w:hanging="360"/>
        <w:jc w:val="left"/>
        <w:textAlignment w:val="auto"/>
        <w:rPr>
          <w:rFonts w:ascii="Times New Roman" w:hAnsi="Times New Roman"/>
          <w:sz w:val="24"/>
          <w:szCs w:val="24"/>
        </w:rPr>
      </w:pPr>
      <w:bookmarkStart w:id="55" w:name="_Toc384220802"/>
      <w:r>
        <w:rPr>
          <w:rFonts w:ascii="Times New Roman" w:hAnsi="Times New Roman"/>
          <w:sz w:val="24"/>
          <w:szCs w:val="24"/>
        </w:rPr>
        <w:t>Resources</w:t>
      </w:r>
      <w:bookmarkEnd w:id="38"/>
      <w:bookmarkEnd w:id="39"/>
      <w:bookmarkEnd w:id="40"/>
      <w:bookmarkEnd w:id="41"/>
      <w:bookmarkEnd w:id="42"/>
      <w:bookmarkEnd w:id="55"/>
      <w:r>
        <w:rPr>
          <w:rFonts w:ascii="Times New Roman" w:hAnsi="Times New Roman"/>
          <w:sz w:val="24"/>
          <w:szCs w:val="24"/>
        </w:rPr>
        <w:t xml:space="preserve"> </w:t>
      </w:r>
    </w:p>
    <w:p w14:paraId="50926304" w14:textId="77777777" w:rsidR="00035340" w:rsidRDefault="00035340">
      <w:pPr>
        <w:rPr>
          <w:rFonts w:ascii="Arial" w:hAnsi="Arial" w:cs="Calibri"/>
          <w:sz w:val="22"/>
          <w:szCs w:val="22"/>
        </w:rPr>
      </w:pPr>
    </w:p>
    <w:p w14:paraId="1AED65A6" w14:textId="77777777" w:rsidR="00035340" w:rsidRDefault="0040272B">
      <w:pPr>
        <w:pStyle w:val="Heading2"/>
        <w:rPr>
          <w:b w:val="0"/>
          <w:sz w:val="24"/>
          <w:u w:val="single"/>
        </w:rPr>
      </w:pPr>
      <w:bookmarkStart w:id="56" w:name="_Toc288468705"/>
      <w:bookmarkStart w:id="57" w:name="_Toc332631357"/>
      <w:bookmarkStart w:id="58" w:name="_Toc384220803"/>
      <w:r>
        <w:rPr>
          <w:b w:val="0"/>
          <w:sz w:val="24"/>
          <w:u w:val="single"/>
        </w:rPr>
        <w:t>Financial Resources:</w:t>
      </w:r>
      <w:bookmarkEnd w:id="56"/>
      <w:bookmarkEnd w:id="57"/>
      <w:bookmarkEnd w:id="58"/>
    </w:p>
    <w:p w14:paraId="206158F0" w14:textId="77777777" w:rsidR="00B43398" w:rsidRDefault="0040272B" w:rsidP="00B43398">
      <w:pPr>
        <w:pStyle w:val="BodyText"/>
        <w:jc w:val="both"/>
        <w:rPr>
          <w:sz w:val="22"/>
          <w:szCs w:val="22"/>
        </w:rPr>
      </w:pPr>
      <w:r>
        <w:rPr>
          <w:rFonts w:ascii="Times New Roman" w:hAnsi="Times New Roman" w:cs="Times New Roman"/>
          <w:sz w:val="24"/>
          <w:szCs w:val="24"/>
          <w:lang w:eastAsia="ja-JP"/>
        </w:rPr>
        <w:t xml:space="preserve">INFUSE was </w:t>
      </w:r>
      <w:r w:rsidR="00997681">
        <w:rPr>
          <w:rFonts w:ascii="Times New Roman" w:hAnsi="Times New Roman" w:cs="Times New Roman"/>
          <w:sz w:val="24"/>
          <w:szCs w:val="24"/>
          <w:lang w:eastAsia="ja-JP"/>
        </w:rPr>
        <w:t>designed</w:t>
      </w:r>
      <w:r>
        <w:rPr>
          <w:rFonts w:ascii="Times New Roman" w:hAnsi="Times New Roman" w:cs="Times New Roman"/>
          <w:sz w:val="24"/>
          <w:szCs w:val="24"/>
          <w:lang w:eastAsia="ja-JP"/>
        </w:rPr>
        <w:t xml:space="preserve"> as a GoTL-</w:t>
      </w:r>
      <w:r>
        <w:rPr>
          <w:rFonts w:ascii="Times New Roman" w:hAnsi="Times New Roman" w:cs="Times New Roman"/>
          <w:iCs/>
          <w:sz w:val="24"/>
          <w:szCs w:val="24"/>
        </w:rPr>
        <w:t xml:space="preserve">UNCDF-UNDP partnership </w:t>
      </w:r>
      <w:r>
        <w:rPr>
          <w:rFonts w:ascii="Times New Roman" w:hAnsi="Times New Roman" w:cs="Times New Roman"/>
          <w:sz w:val="24"/>
          <w:szCs w:val="24"/>
          <w:lang w:eastAsia="ja-JP"/>
        </w:rPr>
        <w:t xml:space="preserve">with a </w:t>
      </w:r>
      <w:r w:rsidR="007F214E">
        <w:rPr>
          <w:rFonts w:ascii="Times New Roman" w:hAnsi="Times New Roman" w:cs="Times New Roman"/>
          <w:sz w:val="24"/>
          <w:szCs w:val="24"/>
          <w:lang w:eastAsia="ja-JP"/>
        </w:rPr>
        <w:t>programme</w:t>
      </w:r>
      <w:r>
        <w:rPr>
          <w:rFonts w:ascii="Times New Roman" w:hAnsi="Times New Roman" w:cs="Times New Roman"/>
          <w:sz w:val="24"/>
          <w:szCs w:val="24"/>
          <w:lang w:eastAsia="ja-JP"/>
        </w:rPr>
        <w:t xml:space="preserve">d budget of US$ 5 million, including initial funding of US$1,050,000 from UNCDF and $500,000 from UNDP. At the end of June 2011, the </w:t>
      </w:r>
      <w:r w:rsidR="00CA347D">
        <w:rPr>
          <w:rFonts w:ascii="Times New Roman" w:hAnsi="Times New Roman" w:cs="Times New Roman"/>
          <w:sz w:val="24"/>
          <w:szCs w:val="24"/>
          <w:lang w:eastAsia="ja-JP"/>
        </w:rPr>
        <w:t>programme</w:t>
      </w:r>
      <w:r>
        <w:rPr>
          <w:rFonts w:ascii="Times New Roman" w:hAnsi="Times New Roman" w:cs="Times New Roman"/>
          <w:sz w:val="24"/>
          <w:szCs w:val="24"/>
          <w:lang w:eastAsia="ja-JP"/>
        </w:rPr>
        <w:t xml:space="preserve"> is funded by UNCDF, UNDP, the GoTL through the budget of the Ministry of Economy and Development (MoED) and the </w:t>
      </w:r>
      <w:r w:rsidR="00A67A87" w:rsidRPr="00A67A87">
        <w:rPr>
          <w:rFonts w:ascii="Times New Roman" w:hAnsi="Times New Roman" w:cs="Times New Roman"/>
          <w:sz w:val="24"/>
          <w:szCs w:val="24"/>
          <w:lang w:eastAsia="ja-JP"/>
        </w:rPr>
        <w:t xml:space="preserve">Australian Department of Foreign Affairs and Trade </w:t>
      </w:r>
      <w:r>
        <w:rPr>
          <w:rFonts w:ascii="Times New Roman" w:hAnsi="Times New Roman" w:cs="Times New Roman"/>
          <w:sz w:val="24"/>
          <w:szCs w:val="24"/>
          <w:lang w:eastAsia="ja-JP"/>
        </w:rPr>
        <w:t>(</w:t>
      </w:r>
      <w:r w:rsidR="00A67A87">
        <w:rPr>
          <w:rFonts w:ascii="Times New Roman" w:hAnsi="Times New Roman" w:cs="Times New Roman"/>
          <w:sz w:val="24"/>
          <w:szCs w:val="24"/>
          <w:lang w:eastAsia="ja-JP"/>
        </w:rPr>
        <w:t>DFAT</w:t>
      </w:r>
      <w:r>
        <w:rPr>
          <w:rFonts w:ascii="Times New Roman" w:hAnsi="Times New Roman" w:cs="Times New Roman"/>
          <w:sz w:val="24"/>
          <w:szCs w:val="24"/>
          <w:lang w:eastAsia="ja-JP"/>
        </w:rPr>
        <w:t xml:space="preserve">). </w:t>
      </w:r>
    </w:p>
    <w:p w14:paraId="519DBB8A" w14:textId="77777777" w:rsidR="00035340" w:rsidRDefault="0040272B">
      <w:pPr>
        <w:pStyle w:val="BodyText"/>
        <w:jc w:val="both"/>
        <w:rPr>
          <w:rFonts w:ascii="Times New Roman" w:hAnsi="Times New Roman" w:cs="Times New Roman"/>
          <w:sz w:val="24"/>
          <w:szCs w:val="24"/>
          <w:u w:val="single"/>
          <w:lang w:eastAsia="ja-JP"/>
        </w:rPr>
      </w:pPr>
      <w:r>
        <w:rPr>
          <w:rFonts w:ascii="Times New Roman" w:hAnsi="Times New Roman" w:cs="Times New Roman"/>
          <w:sz w:val="24"/>
          <w:szCs w:val="24"/>
          <w:u w:val="single"/>
          <w:lang w:eastAsia="ja-JP"/>
        </w:rPr>
        <w:t xml:space="preserve">Budget Approvals </w:t>
      </w:r>
    </w:p>
    <w:p w14:paraId="2B307A7F" w14:textId="77777777" w:rsidR="00035340" w:rsidRDefault="0040272B">
      <w:pPr>
        <w:pStyle w:val="Default"/>
        <w:widowControl/>
        <w:numPr>
          <w:ilvl w:val="0"/>
          <w:numId w:val="9"/>
        </w:numPr>
        <w:jc w:val="both"/>
      </w:pPr>
      <w:r>
        <w:rPr>
          <w:rFonts w:ascii="Times New Roman" w:hAnsi="Times New Roman" w:cs="Times New Roman"/>
          <w:color w:val="auto"/>
        </w:rPr>
        <w:t>The 201</w:t>
      </w:r>
      <w:r w:rsidR="00395515">
        <w:rPr>
          <w:rFonts w:ascii="Times New Roman" w:hAnsi="Times New Roman" w:cs="Times New Roman"/>
          <w:color w:val="auto"/>
        </w:rPr>
        <w:t>4</w:t>
      </w:r>
      <w:r>
        <w:rPr>
          <w:rFonts w:ascii="Times New Roman" w:hAnsi="Times New Roman" w:cs="Times New Roman"/>
          <w:color w:val="auto"/>
        </w:rPr>
        <w:t xml:space="preserve"> annual budget and work plan was approved by the Management Committee for Inclusive Finance (MCIF) in </w:t>
      </w:r>
      <w:r w:rsidR="00097401">
        <w:rPr>
          <w:rFonts w:ascii="Times New Roman" w:hAnsi="Times New Roman" w:cs="Times New Roman"/>
          <w:color w:val="auto"/>
        </w:rPr>
        <w:t>February 2014</w:t>
      </w:r>
      <w:r>
        <w:rPr>
          <w:rFonts w:ascii="Times New Roman" w:hAnsi="Times New Roman" w:cs="Times New Roman"/>
          <w:color w:val="auto"/>
        </w:rPr>
        <w:t xml:space="preserve">.  </w:t>
      </w:r>
    </w:p>
    <w:p w14:paraId="7DD81A0C" w14:textId="77777777" w:rsidR="00035340" w:rsidRDefault="00035340">
      <w:pPr>
        <w:pStyle w:val="BodyText"/>
        <w:jc w:val="both"/>
        <w:rPr>
          <w:rFonts w:ascii="Times New Roman" w:hAnsi="Times New Roman" w:cs="Times New Roman"/>
          <w:bCs/>
          <w:sz w:val="24"/>
          <w:szCs w:val="24"/>
          <w:u w:val="single"/>
        </w:rPr>
      </w:pPr>
    </w:p>
    <w:p w14:paraId="666C3C3D" w14:textId="77777777" w:rsidR="00035340" w:rsidRDefault="0040272B">
      <w:pPr>
        <w:pStyle w:val="BodyText"/>
        <w:jc w:val="both"/>
      </w:pPr>
      <w:r>
        <w:rPr>
          <w:rFonts w:ascii="Times New Roman" w:hAnsi="Times New Roman" w:cs="Times New Roman"/>
          <w:bCs/>
          <w:sz w:val="24"/>
          <w:szCs w:val="24"/>
          <w:u w:val="single"/>
        </w:rPr>
        <w:t>Funding Mobilization</w:t>
      </w:r>
      <w:r>
        <w:rPr>
          <w:rFonts w:ascii="Times New Roman" w:hAnsi="Times New Roman" w:cs="Times New Roman"/>
          <w:b/>
          <w:bCs/>
          <w:i/>
          <w:sz w:val="24"/>
          <w:szCs w:val="24"/>
        </w:rPr>
        <w:t xml:space="preserve">: </w:t>
      </w:r>
    </w:p>
    <w:p w14:paraId="614FCFFE" w14:textId="77777777" w:rsidR="00035340" w:rsidRDefault="0040272B" w:rsidP="00245C3A">
      <w:pPr>
        <w:pStyle w:val="Default"/>
        <w:widowControl/>
        <w:numPr>
          <w:ilvl w:val="0"/>
          <w:numId w:val="9"/>
        </w:numPr>
        <w:jc w:val="both"/>
        <w:rPr>
          <w:rFonts w:ascii="Times New Roman" w:hAnsi="Times New Roman" w:cs="Times New Roman"/>
          <w:color w:val="auto"/>
        </w:rPr>
      </w:pPr>
      <w:r w:rsidRPr="00DC7C62">
        <w:rPr>
          <w:rFonts w:ascii="Times New Roman" w:hAnsi="Times New Roman" w:cs="Times New Roman"/>
          <w:color w:val="auto"/>
        </w:rPr>
        <w:t xml:space="preserve">The </w:t>
      </w:r>
      <w:r w:rsidR="007F214E">
        <w:rPr>
          <w:rFonts w:ascii="Times New Roman" w:hAnsi="Times New Roman" w:cs="Times New Roman"/>
          <w:color w:val="auto"/>
        </w:rPr>
        <w:t>Programme</w:t>
      </w:r>
      <w:r w:rsidRPr="00DC7C62">
        <w:rPr>
          <w:rFonts w:ascii="Times New Roman" w:hAnsi="Times New Roman" w:cs="Times New Roman"/>
          <w:color w:val="auto"/>
        </w:rPr>
        <w:t xml:space="preserve"> was extended </w:t>
      </w:r>
      <w:r w:rsidR="00097401">
        <w:rPr>
          <w:rFonts w:ascii="Times New Roman" w:hAnsi="Times New Roman" w:cs="Times New Roman"/>
          <w:color w:val="auto"/>
        </w:rPr>
        <w:t xml:space="preserve"> </w:t>
      </w:r>
      <w:r w:rsidR="00006E71">
        <w:rPr>
          <w:rFonts w:ascii="Times New Roman" w:hAnsi="Times New Roman" w:cs="Times New Roman"/>
          <w:color w:val="auto"/>
        </w:rPr>
        <w:t xml:space="preserve">in February </w:t>
      </w:r>
      <w:r w:rsidR="00097401">
        <w:rPr>
          <w:rFonts w:ascii="Times New Roman" w:hAnsi="Times New Roman" w:cs="Times New Roman"/>
          <w:color w:val="auto"/>
        </w:rPr>
        <w:t>2014, by the MCIF to 31 December 2014 at no additional cost.</w:t>
      </w:r>
    </w:p>
    <w:p w14:paraId="4DEB2953" w14:textId="77777777" w:rsidR="00DC7C62" w:rsidRPr="00DC7C62" w:rsidRDefault="00DC7C62" w:rsidP="00245C3A">
      <w:pPr>
        <w:pStyle w:val="Default"/>
        <w:widowControl/>
        <w:numPr>
          <w:ilvl w:val="0"/>
          <w:numId w:val="9"/>
        </w:numPr>
        <w:jc w:val="both"/>
        <w:rPr>
          <w:rFonts w:ascii="Times New Roman" w:hAnsi="Times New Roman" w:cs="Times New Roman"/>
          <w:color w:val="auto"/>
        </w:rPr>
      </w:pPr>
      <w:r>
        <w:rPr>
          <w:rFonts w:ascii="Times New Roman" w:hAnsi="Times New Roman" w:cs="Times New Roman"/>
          <w:color w:val="auto"/>
        </w:rPr>
        <w:t>A draft concept note o</w:t>
      </w:r>
      <w:r w:rsidR="00997681">
        <w:rPr>
          <w:rFonts w:ascii="Times New Roman" w:hAnsi="Times New Roman" w:cs="Times New Roman"/>
          <w:color w:val="auto"/>
        </w:rPr>
        <w:t>n</w:t>
      </w:r>
      <w:r>
        <w:rPr>
          <w:rFonts w:ascii="Times New Roman" w:hAnsi="Times New Roman" w:cs="Times New Roman"/>
          <w:color w:val="auto"/>
        </w:rPr>
        <w:t xml:space="preserve"> the follow-on </w:t>
      </w:r>
      <w:r w:rsidR="007F214E">
        <w:rPr>
          <w:rFonts w:ascii="Times New Roman" w:hAnsi="Times New Roman" w:cs="Times New Roman"/>
          <w:color w:val="auto"/>
        </w:rPr>
        <w:t>programme</w:t>
      </w:r>
      <w:r w:rsidR="00997681">
        <w:rPr>
          <w:rFonts w:ascii="Times New Roman" w:hAnsi="Times New Roman" w:cs="Times New Roman"/>
          <w:color w:val="auto"/>
        </w:rPr>
        <w:t xml:space="preserve"> (2014-2017)</w:t>
      </w:r>
      <w:r>
        <w:rPr>
          <w:rFonts w:ascii="Times New Roman" w:hAnsi="Times New Roman" w:cs="Times New Roman"/>
          <w:color w:val="auto"/>
        </w:rPr>
        <w:t xml:space="preserve"> to INFUSE was presented to DFAT </w:t>
      </w:r>
    </w:p>
    <w:p w14:paraId="519D3E20" w14:textId="77777777" w:rsidR="00E50CCA" w:rsidRPr="00E50CCA" w:rsidRDefault="00E50CCA" w:rsidP="00E50CCA">
      <w:pPr>
        <w:pStyle w:val="Default"/>
        <w:widowControl/>
        <w:numPr>
          <w:ilvl w:val="0"/>
          <w:numId w:val="9"/>
        </w:numPr>
        <w:jc w:val="both"/>
      </w:pPr>
      <w:r>
        <w:rPr>
          <w:rFonts w:ascii="Times New Roman" w:hAnsi="Times New Roman" w:cs="Times New Roman"/>
          <w:color w:val="auto"/>
        </w:rPr>
        <w:t>The G</w:t>
      </w:r>
      <w:r w:rsidR="00997681">
        <w:rPr>
          <w:rFonts w:ascii="Times New Roman" w:hAnsi="Times New Roman" w:cs="Times New Roman"/>
          <w:color w:val="auto"/>
        </w:rPr>
        <w:t>oTL</w:t>
      </w:r>
      <w:r>
        <w:rPr>
          <w:rFonts w:ascii="Times New Roman" w:hAnsi="Times New Roman" w:cs="Times New Roman"/>
          <w:color w:val="auto"/>
        </w:rPr>
        <w:t xml:space="preserve"> committed at the MCIF </w:t>
      </w:r>
      <w:r w:rsidR="00997681">
        <w:rPr>
          <w:rFonts w:ascii="Times New Roman" w:hAnsi="Times New Roman" w:cs="Times New Roman"/>
          <w:color w:val="auto"/>
        </w:rPr>
        <w:t xml:space="preserve">meeting </w:t>
      </w:r>
      <w:r>
        <w:rPr>
          <w:rFonts w:ascii="Times New Roman" w:hAnsi="Times New Roman" w:cs="Times New Roman"/>
          <w:color w:val="auto"/>
        </w:rPr>
        <w:t xml:space="preserve">held in September </w:t>
      </w:r>
      <w:r w:rsidR="00006E71">
        <w:rPr>
          <w:rFonts w:ascii="Times New Roman" w:hAnsi="Times New Roman" w:cs="Times New Roman"/>
          <w:color w:val="auto"/>
        </w:rPr>
        <w:t xml:space="preserve">2013 </w:t>
      </w:r>
      <w:r>
        <w:rPr>
          <w:rFonts w:ascii="Times New Roman" w:hAnsi="Times New Roman" w:cs="Times New Roman"/>
          <w:color w:val="auto"/>
        </w:rPr>
        <w:t xml:space="preserve">to contribute to the project </w:t>
      </w:r>
      <w:r w:rsidR="00997681">
        <w:rPr>
          <w:rFonts w:ascii="Times New Roman" w:hAnsi="Times New Roman" w:cs="Times New Roman"/>
          <w:color w:val="auto"/>
        </w:rPr>
        <w:t>the remaining</w:t>
      </w:r>
      <w:r>
        <w:rPr>
          <w:rFonts w:ascii="Times New Roman" w:hAnsi="Times New Roman" w:cs="Times New Roman"/>
          <w:color w:val="auto"/>
        </w:rPr>
        <w:t xml:space="preserve"> $100,000 from the 2014 budget pending parliamentary approval, </w:t>
      </w:r>
      <w:r w:rsidR="00997681">
        <w:rPr>
          <w:rFonts w:ascii="Times New Roman" w:hAnsi="Times New Roman" w:cs="Times New Roman"/>
          <w:color w:val="auto"/>
        </w:rPr>
        <w:t xml:space="preserve">to </w:t>
      </w:r>
      <w:r>
        <w:rPr>
          <w:rFonts w:ascii="Times New Roman" w:hAnsi="Times New Roman" w:cs="Times New Roman"/>
          <w:color w:val="auto"/>
        </w:rPr>
        <w:t xml:space="preserve">fulfill GoTL </w:t>
      </w:r>
      <w:r w:rsidR="00FE41FD">
        <w:rPr>
          <w:rFonts w:ascii="Times New Roman" w:hAnsi="Times New Roman" w:cs="Times New Roman"/>
          <w:color w:val="auto"/>
        </w:rPr>
        <w:t>commitment of</w:t>
      </w:r>
      <w:r>
        <w:rPr>
          <w:rFonts w:ascii="Times New Roman" w:hAnsi="Times New Roman" w:cs="Times New Roman"/>
          <w:color w:val="auto"/>
        </w:rPr>
        <w:t xml:space="preserve"> $1,000,000 to the </w:t>
      </w:r>
      <w:r w:rsidR="007F214E">
        <w:rPr>
          <w:rFonts w:ascii="Times New Roman" w:hAnsi="Times New Roman" w:cs="Times New Roman"/>
          <w:color w:val="auto"/>
        </w:rPr>
        <w:t>Programme</w:t>
      </w:r>
      <w:r w:rsidR="00006E71">
        <w:rPr>
          <w:rFonts w:ascii="Times New Roman" w:hAnsi="Times New Roman" w:cs="Times New Roman"/>
          <w:color w:val="auto"/>
        </w:rPr>
        <w:t xml:space="preserve">, however, this did not eventuate with the imminent closure of INFUSE. </w:t>
      </w:r>
      <w:commentRangeStart w:id="59"/>
      <w:r w:rsidR="00006E71">
        <w:rPr>
          <w:rFonts w:ascii="Times New Roman" w:hAnsi="Times New Roman" w:cs="Times New Roman"/>
          <w:color w:val="auto"/>
        </w:rPr>
        <w:t>Hence, the $100,000 was written off.</w:t>
      </w:r>
      <w:commentRangeEnd w:id="59"/>
      <w:r w:rsidR="00F62C22">
        <w:rPr>
          <w:rStyle w:val="CommentReference"/>
          <w:rFonts w:ascii="Times New Roman" w:eastAsia="Times New Roman" w:hAnsi="Times New Roman" w:cs="Times New Roman"/>
          <w:color w:val="auto"/>
        </w:rPr>
        <w:commentReference w:id="59"/>
      </w:r>
    </w:p>
    <w:p w14:paraId="18653DD3" w14:textId="77777777" w:rsidR="00E50CCA" w:rsidRDefault="00E50CCA" w:rsidP="00E50CCA">
      <w:pPr>
        <w:pStyle w:val="Default"/>
        <w:widowControl/>
        <w:numPr>
          <w:ilvl w:val="0"/>
          <w:numId w:val="9"/>
        </w:numPr>
        <w:jc w:val="both"/>
      </w:pPr>
    </w:p>
    <w:p w14:paraId="7F018637" w14:textId="77777777" w:rsidR="00A47EE2" w:rsidRDefault="00A47EE2">
      <w:pPr>
        <w:pStyle w:val="Default"/>
        <w:widowControl/>
        <w:jc w:val="both"/>
        <w:rPr>
          <w:rFonts w:ascii="Times New Roman" w:hAnsi="Times New Roman" w:cs="Times New Roman"/>
          <w:color w:val="auto"/>
          <w:u w:val="single"/>
        </w:rPr>
      </w:pPr>
    </w:p>
    <w:p w14:paraId="7886DF84" w14:textId="77777777" w:rsidR="00035340" w:rsidRDefault="0040272B">
      <w:pPr>
        <w:pStyle w:val="Default"/>
        <w:widowControl/>
        <w:jc w:val="both"/>
        <w:rPr>
          <w:rFonts w:ascii="Times New Roman" w:hAnsi="Times New Roman" w:cs="Times New Roman"/>
          <w:color w:val="auto"/>
          <w:u w:val="single"/>
        </w:rPr>
      </w:pPr>
      <w:r>
        <w:rPr>
          <w:rFonts w:ascii="Times New Roman" w:hAnsi="Times New Roman" w:cs="Times New Roman"/>
          <w:color w:val="auto"/>
          <w:u w:val="single"/>
        </w:rPr>
        <w:t>Financial &amp; Procurement Processes</w:t>
      </w:r>
    </w:p>
    <w:p w14:paraId="6939CEC0" w14:textId="77777777" w:rsidR="00B43398" w:rsidRDefault="00E50CCA" w:rsidP="00B43398">
      <w:pPr>
        <w:pStyle w:val="Default"/>
        <w:widowControl/>
        <w:numPr>
          <w:ilvl w:val="0"/>
          <w:numId w:val="10"/>
        </w:numPr>
        <w:jc w:val="both"/>
      </w:pPr>
      <w:r w:rsidRPr="00B43398">
        <w:rPr>
          <w:rFonts w:ascii="Times New Roman" w:hAnsi="Times New Roman" w:cs="Times New Roman"/>
          <w:color w:val="auto"/>
        </w:rPr>
        <w:t>Use of the UNCDF Long Term Agreement for the procurement of branchless-banking consultancy to BNU.</w:t>
      </w:r>
    </w:p>
    <w:p w14:paraId="69BD8911" w14:textId="77777777" w:rsidR="00E50CCA" w:rsidRPr="00B43398" w:rsidRDefault="00E50CCA" w:rsidP="00B43398">
      <w:pPr>
        <w:pStyle w:val="Default"/>
        <w:widowControl/>
        <w:numPr>
          <w:ilvl w:val="0"/>
          <w:numId w:val="10"/>
        </w:numPr>
        <w:jc w:val="both"/>
      </w:pPr>
      <w:r w:rsidRPr="00B43398">
        <w:rPr>
          <w:rFonts w:ascii="Times New Roman" w:hAnsi="Times New Roman" w:cs="Times New Roman"/>
          <w:color w:val="auto"/>
        </w:rPr>
        <w:t>One direct procurement authorized by UNDP for the recruitment of a community-finance consultant.</w:t>
      </w:r>
    </w:p>
    <w:p w14:paraId="274051E8" w14:textId="77777777" w:rsidR="00E50CCA" w:rsidRPr="00E50CCA" w:rsidRDefault="00E50CCA" w:rsidP="00E50CCA">
      <w:pPr>
        <w:pStyle w:val="Default"/>
        <w:widowControl/>
        <w:numPr>
          <w:ilvl w:val="0"/>
          <w:numId w:val="26"/>
        </w:numPr>
        <w:jc w:val="both"/>
        <w:rPr>
          <w:rFonts w:ascii="Times New Roman" w:hAnsi="Times New Roman" w:cs="Times New Roman"/>
          <w:color w:val="auto"/>
        </w:rPr>
      </w:pPr>
      <w:r>
        <w:rPr>
          <w:rFonts w:ascii="Times New Roman" w:hAnsi="Times New Roman" w:cs="Times New Roman"/>
          <w:color w:val="auto"/>
        </w:rPr>
        <w:t>Turnaround time improved for procurement and payment of contractors.</w:t>
      </w:r>
    </w:p>
    <w:p w14:paraId="6992E701" w14:textId="77777777" w:rsidR="00035340" w:rsidRDefault="00035340">
      <w:pPr>
        <w:pStyle w:val="BodyText"/>
        <w:jc w:val="both"/>
        <w:rPr>
          <w:rFonts w:ascii="Times New Roman" w:hAnsi="Times New Roman" w:cs="Times New Roman"/>
          <w:bCs/>
          <w:sz w:val="24"/>
          <w:szCs w:val="24"/>
          <w:u w:val="single"/>
        </w:rPr>
      </w:pPr>
    </w:p>
    <w:p w14:paraId="43B4F445" w14:textId="77777777" w:rsidR="00035340" w:rsidRDefault="0040272B">
      <w:pPr>
        <w:pStyle w:val="Heading2"/>
        <w:jc w:val="both"/>
        <w:rPr>
          <w:b w:val="0"/>
          <w:bCs w:val="0"/>
          <w:iCs/>
          <w:sz w:val="24"/>
          <w:u w:val="single"/>
        </w:rPr>
      </w:pPr>
      <w:bookmarkStart w:id="60" w:name="_Toc288468706"/>
      <w:bookmarkStart w:id="61" w:name="_Toc332631358"/>
      <w:bookmarkStart w:id="62" w:name="_Toc384220804"/>
      <w:r>
        <w:rPr>
          <w:b w:val="0"/>
          <w:bCs w:val="0"/>
          <w:iCs/>
          <w:sz w:val="24"/>
          <w:u w:val="single"/>
        </w:rPr>
        <w:t>Human Resources:</w:t>
      </w:r>
      <w:bookmarkEnd w:id="60"/>
      <w:bookmarkEnd w:id="61"/>
      <w:bookmarkEnd w:id="62"/>
    </w:p>
    <w:p w14:paraId="100BCBEB" w14:textId="77777777" w:rsidR="00035340" w:rsidRDefault="00505F3C">
      <w:pPr>
        <w:pStyle w:val="BodyText"/>
        <w:jc w:val="both"/>
        <w:rPr>
          <w:rFonts w:ascii="Times New Roman" w:hAnsi="Times New Roman" w:cs="Times New Roman"/>
          <w:sz w:val="24"/>
          <w:szCs w:val="24"/>
        </w:rPr>
      </w:pPr>
      <w:r>
        <w:rPr>
          <w:rFonts w:ascii="Times New Roman" w:hAnsi="Times New Roman" w:cs="Times New Roman"/>
          <w:sz w:val="24"/>
          <w:szCs w:val="24"/>
        </w:rPr>
        <w:t xml:space="preserve">INFUSE </w:t>
      </w:r>
      <w:r w:rsidR="007F214E">
        <w:rPr>
          <w:rFonts w:ascii="Times New Roman" w:hAnsi="Times New Roman" w:cs="Times New Roman"/>
          <w:sz w:val="24"/>
          <w:szCs w:val="24"/>
        </w:rPr>
        <w:t>programme</w:t>
      </w:r>
      <w:r>
        <w:rPr>
          <w:rFonts w:ascii="Times New Roman" w:hAnsi="Times New Roman" w:cs="Times New Roman"/>
          <w:sz w:val="24"/>
          <w:szCs w:val="24"/>
        </w:rPr>
        <w:t xml:space="preserve"> implementation unit (PIU) staffing has not changed </w:t>
      </w:r>
      <w:r w:rsidR="00997681">
        <w:rPr>
          <w:rFonts w:ascii="Times New Roman" w:hAnsi="Times New Roman" w:cs="Times New Roman"/>
          <w:sz w:val="24"/>
          <w:szCs w:val="24"/>
        </w:rPr>
        <w:t>in</w:t>
      </w:r>
      <w:r>
        <w:rPr>
          <w:rFonts w:ascii="Times New Roman" w:hAnsi="Times New Roman" w:cs="Times New Roman"/>
          <w:sz w:val="24"/>
          <w:szCs w:val="24"/>
        </w:rPr>
        <w:t xml:space="preserve"> </w:t>
      </w:r>
      <w:r w:rsidR="0040272B">
        <w:rPr>
          <w:rFonts w:ascii="Times New Roman" w:hAnsi="Times New Roman" w:cs="Times New Roman"/>
          <w:sz w:val="24"/>
          <w:szCs w:val="24"/>
        </w:rPr>
        <w:t>201</w:t>
      </w:r>
      <w:r w:rsidR="00097401">
        <w:rPr>
          <w:rFonts w:ascii="Times New Roman" w:hAnsi="Times New Roman" w:cs="Times New Roman"/>
          <w:sz w:val="24"/>
          <w:szCs w:val="24"/>
        </w:rPr>
        <w:t>4</w:t>
      </w:r>
      <w:r>
        <w:rPr>
          <w:rFonts w:ascii="Times New Roman" w:hAnsi="Times New Roman" w:cs="Times New Roman"/>
          <w:sz w:val="24"/>
          <w:szCs w:val="24"/>
        </w:rPr>
        <w:t>, comprising</w:t>
      </w:r>
      <w:r w:rsidR="0040272B">
        <w:rPr>
          <w:rFonts w:ascii="Times New Roman" w:hAnsi="Times New Roman" w:cs="Times New Roman"/>
          <w:sz w:val="24"/>
          <w:szCs w:val="24"/>
        </w:rPr>
        <w:t xml:space="preserve">: </w:t>
      </w:r>
    </w:p>
    <w:p w14:paraId="2F9AA979" w14:textId="77777777" w:rsidR="00035340" w:rsidRDefault="00505F3C">
      <w:pPr>
        <w:numPr>
          <w:ilvl w:val="0"/>
          <w:numId w:val="11"/>
        </w:numPr>
        <w:tabs>
          <w:tab w:val="left" w:pos="360"/>
        </w:tabs>
        <w:suppressAutoHyphens w:val="0"/>
        <w:autoSpaceDE w:val="0"/>
        <w:ind w:left="360"/>
        <w:jc w:val="both"/>
        <w:textAlignment w:val="auto"/>
      </w:pPr>
      <w:r>
        <w:rPr>
          <w:lang w:eastAsia="ja-JP"/>
        </w:rPr>
        <w:t xml:space="preserve">An </w:t>
      </w:r>
      <w:r w:rsidR="00997681">
        <w:rPr>
          <w:lang w:eastAsia="ja-JP"/>
        </w:rPr>
        <w:t>international</w:t>
      </w:r>
      <w:r w:rsidR="0040272B">
        <w:rPr>
          <w:lang w:eastAsia="ja-JP"/>
        </w:rPr>
        <w:t xml:space="preserve"> Chief Technical Advisor (CTA) with </w:t>
      </w:r>
      <w:r w:rsidR="00997681">
        <w:rPr>
          <w:lang w:eastAsia="ja-JP"/>
        </w:rPr>
        <w:t>the</w:t>
      </w:r>
      <w:r w:rsidR="00CA347D">
        <w:rPr>
          <w:lang w:eastAsia="ja-JP"/>
        </w:rPr>
        <w:t xml:space="preserve"> designation of</w:t>
      </w:r>
      <w:r w:rsidR="0040272B">
        <w:rPr>
          <w:lang w:eastAsia="ja-JP"/>
        </w:rPr>
        <w:t xml:space="preserve"> Technical Specialist (P3 level)</w:t>
      </w:r>
      <w:r w:rsidR="00097401">
        <w:rPr>
          <w:lang w:eastAsia="ja-JP"/>
        </w:rPr>
        <w:t>, who resigned in early 2014 and was replaced by a temporary international.</w:t>
      </w:r>
      <w:r w:rsidR="0040272B">
        <w:rPr>
          <w:lang w:eastAsia="ja-JP"/>
        </w:rPr>
        <w:t xml:space="preserve"> </w:t>
      </w:r>
    </w:p>
    <w:p w14:paraId="5B645C26" w14:textId="77777777" w:rsidR="00035340" w:rsidRDefault="00505F3C">
      <w:pPr>
        <w:numPr>
          <w:ilvl w:val="0"/>
          <w:numId w:val="11"/>
        </w:numPr>
        <w:tabs>
          <w:tab w:val="left" w:pos="360"/>
        </w:tabs>
        <w:suppressAutoHyphens w:val="0"/>
        <w:autoSpaceDE w:val="0"/>
        <w:ind w:left="360"/>
        <w:jc w:val="both"/>
        <w:textAlignment w:val="auto"/>
      </w:pPr>
      <w:r>
        <w:rPr>
          <w:lang w:eastAsia="ja-JP"/>
        </w:rPr>
        <w:t>A</w:t>
      </w:r>
      <w:r w:rsidR="0040272B">
        <w:rPr>
          <w:lang w:eastAsia="ja-JP"/>
        </w:rPr>
        <w:t xml:space="preserve"> National </w:t>
      </w:r>
      <w:r w:rsidR="007F214E">
        <w:rPr>
          <w:lang w:eastAsia="ja-JP"/>
        </w:rPr>
        <w:t>Programme</w:t>
      </w:r>
      <w:r w:rsidR="0040272B">
        <w:rPr>
          <w:lang w:eastAsia="ja-JP"/>
        </w:rPr>
        <w:t xml:space="preserve"> Officer. </w:t>
      </w:r>
      <w:r w:rsidR="00097401">
        <w:rPr>
          <w:lang w:eastAsia="ja-JP"/>
        </w:rPr>
        <w:t>(Resigned in August 2014)</w:t>
      </w:r>
    </w:p>
    <w:p w14:paraId="34300BCD" w14:textId="77777777" w:rsidR="00035340" w:rsidRDefault="00505F3C">
      <w:pPr>
        <w:numPr>
          <w:ilvl w:val="0"/>
          <w:numId w:val="11"/>
        </w:numPr>
        <w:tabs>
          <w:tab w:val="left" w:pos="360"/>
        </w:tabs>
        <w:suppressAutoHyphens w:val="0"/>
        <w:autoSpaceDE w:val="0"/>
        <w:ind w:left="360"/>
        <w:jc w:val="both"/>
        <w:textAlignment w:val="auto"/>
      </w:pPr>
      <w:r>
        <w:rPr>
          <w:lang w:eastAsia="ja-JP"/>
        </w:rPr>
        <w:t>A</w:t>
      </w:r>
      <w:r w:rsidR="0040272B">
        <w:rPr>
          <w:lang w:eastAsia="ja-JP"/>
        </w:rPr>
        <w:t xml:space="preserve"> National Administration/Finance Associate. </w:t>
      </w:r>
      <w:r w:rsidR="00097401">
        <w:rPr>
          <w:lang w:eastAsia="ja-JP"/>
        </w:rPr>
        <w:t>(Resigned in October 2014)</w:t>
      </w:r>
      <w:r w:rsidR="0040272B">
        <w:rPr>
          <w:lang w:eastAsia="ja-JP"/>
        </w:rPr>
        <w:t xml:space="preserve"> </w:t>
      </w:r>
    </w:p>
    <w:p w14:paraId="324183D3" w14:textId="77777777" w:rsidR="00035340" w:rsidRDefault="00505F3C">
      <w:pPr>
        <w:numPr>
          <w:ilvl w:val="0"/>
          <w:numId w:val="11"/>
        </w:numPr>
        <w:tabs>
          <w:tab w:val="left" w:pos="360"/>
        </w:tabs>
        <w:suppressAutoHyphens w:val="0"/>
        <w:autoSpaceDE w:val="0"/>
        <w:ind w:left="360"/>
        <w:jc w:val="both"/>
        <w:textAlignment w:val="auto"/>
        <w:rPr>
          <w:lang w:eastAsia="ja-JP"/>
        </w:rPr>
      </w:pPr>
      <w:r>
        <w:rPr>
          <w:lang w:eastAsia="ja-JP"/>
        </w:rPr>
        <w:t>A</w:t>
      </w:r>
      <w:r w:rsidR="0040272B">
        <w:rPr>
          <w:lang w:eastAsia="ja-JP"/>
        </w:rPr>
        <w:t xml:space="preserve"> National Driver. </w:t>
      </w:r>
    </w:p>
    <w:p w14:paraId="166B1304" w14:textId="77777777" w:rsidR="00505F3C" w:rsidRDefault="00505F3C" w:rsidP="00505F3C">
      <w:pPr>
        <w:pStyle w:val="Default"/>
        <w:widowControl/>
        <w:jc w:val="both"/>
        <w:rPr>
          <w:rFonts w:ascii="Times New Roman" w:hAnsi="Times New Roman" w:cs="Times New Roman"/>
          <w:color w:val="auto"/>
        </w:rPr>
      </w:pPr>
    </w:p>
    <w:p w14:paraId="24C5405E" w14:textId="77777777" w:rsidR="00505F3C" w:rsidRDefault="00505F3C" w:rsidP="00505F3C">
      <w:pPr>
        <w:pStyle w:val="Default"/>
        <w:widowControl/>
        <w:jc w:val="both"/>
        <w:rPr>
          <w:rFonts w:ascii="Times New Roman" w:hAnsi="Times New Roman" w:cs="Times New Roman"/>
          <w:color w:val="auto"/>
        </w:rPr>
      </w:pPr>
      <w:r>
        <w:rPr>
          <w:rFonts w:ascii="Times New Roman" w:hAnsi="Times New Roman" w:cs="Times New Roman"/>
          <w:color w:val="auto"/>
        </w:rPr>
        <w:t xml:space="preserve">In addition, the </w:t>
      </w:r>
      <w:r w:rsidR="007F214E">
        <w:rPr>
          <w:rFonts w:ascii="Times New Roman" w:hAnsi="Times New Roman" w:cs="Times New Roman"/>
          <w:color w:val="auto"/>
        </w:rPr>
        <w:t>programme</w:t>
      </w:r>
      <w:r>
        <w:rPr>
          <w:rFonts w:ascii="Times New Roman" w:hAnsi="Times New Roman" w:cs="Times New Roman"/>
          <w:color w:val="auto"/>
        </w:rPr>
        <w:t xml:space="preserve"> receives support from the following:</w:t>
      </w:r>
    </w:p>
    <w:p w14:paraId="3E432DAA" w14:textId="77777777" w:rsidR="00505F3C" w:rsidRDefault="00505F3C" w:rsidP="00505F3C">
      <w:pPr>
        <w:numPr>
          <w:ilvl w:val="0"/>
          <w:numId w:val="11"/>
        </w:numPr>
        <w:tabs>
          <w:tab w:val="left" w:pos="360"/>
        </w:tabs>
        <w:suppressAutoHyphens w:val="0"/>
        <w:autoSpaceDE w:val="0"/>
        <w:ind w:left="360"/>
        <w:jc w:val="both"/>
        <w:textAlignment w:val="auto"/>
      </w:pPr>
      <w:r>
        <w:rPr>
          <w:lang w:eastAsia="ja-JP"/>
        </w:rPr>
        <w:t xml:space="preserve">Technical oversight and guidance to the </w:t>
      </w:r>
      <w:r w:rsidR="007F214E">
        <w:rPr>
          <w:lang w:eastAsia="ja-JP"/>
        </w:rPr>
        <w:t>Programme</w:t>
      </w:r>
      <w:r>
        <w:rPr>
          <w:lang w:eastAsia="ja-JP"/>
        </w:rPr>
        <w:t xml:space="preserve"> is provided by an UNCDF Regional Technical Advisor based at the Pacific Financial Inclusion </w:t>
      </w:r>
      <w:r w:rsidR="007F214E">
        <w:rPr>
          <w:lang w:eastAsia="ja-JP"/>
        </w:rPr>
        <w:t>Programme</w:t>
      </w:r>
      <w:r>
        <w:rPr>
          <w:lang w:eastAsia="ja-JP"/>
        </w:rPr>
        <w:t xml:space="preserve"> (PFIP) in Suva, Fiji. </w:t>
      </w:r>
    </w:p>
    <w:p w14:paraId="323BB298" w14:textId="77777777" w:rsidR="00505F3C" w:rsidRDefault="00505F3C" w:rsidP="00505F3C">
      <w:pPr>
        <w:numPr>
          <w:ilvl w:val="0"/>
          <w:numId w:val="11"/>
        </w:numPr>
        <w:tabs>
          <w:tab w:val="left" w:pos="360"/>
        </w:tabs>
        <w:suppressAutoHyphens w:val="0"/>
        <w:autoSpaceDE w:val="0"/>
        <w:ind w:left="360"/>
        <w:jc w:val="both"/>
        <w:textAlignment w:val="auto"/>
        <w:rPr>
          <w:lang w:eastAsia="ja-JP"/>
        </w:rPr>
      </w:pPr>
      <w:r>
        <w:rPr>
          <w:lang w:eastAsia="ja-JP"/>
        </w:rPr>
        <w:t xml:space="preserve">A INFUSE part-time Deputy </w:t>
      </w:r>
      <w:r w:rsidR="00CA347D">
        <w:rPr>
          <w:lang w:eastAsia="ja-JP"/>
        </w:rPr>
        <w:t>Programme</w:t>
      </w:r>
      <w:r>
        <w:rPr>
          <w:lang w:eastAsia="ja-JP"/>
        </w:rPr>
        <w:t xml:space="preserve"> Manager (based in the PFIP office) provides considerable support on finance and operations.  </w:t>
      </w:r>
    </w:p>
    <w:p w14:paraId="373F30E9" w14:textId="77777777" w:rsidR="00035340" w:rsidRDefault="00035340">
      <w:pPr>
        <w:pStyle w:val="Default"/>
        <w:widowControl/>
        <w:jc w:val="both"/>
        <w:rPr>
          <w:rFonts w:ascii="Times New Roman" w:hAnsi="Times New Roman" w:cs="Times New Roman"/>
          <w:color w:val="auto"/>
        </w:rPr>
      </w:pPr>
    </w:p>
    <w:p w14:paraId="0E441D42" w14:textId="77777777" w:rsidR="00505F3C" w:rsidRDefault="00505F3C">
      <w:pPr>
        <w:pStyle w:val="Default"/>
        <w:widowControl/>
        <w:jc w:val="both"/>
        <w:rPr>
          <w:rFonts w:ascii="Times New Roman" w:hAnsi="Times New Roman" w:cs="Times New Roman"/>
          <w:color w:val="auto"/>
        </w:rPr>
      </w:pPr>
      <w:r>
        <w:rPr>
          <w:rFonts w:ascii="Times New Roman" w:hAnsi="Times New Roman" w:cs="Times New Roman"/>
          <w:color w:val="auto"/>
        </w:rPr>
        <w:t>An Australian Youth Ambassador for Development (AYAD) was finally secured in October</w:t>
      </w:r>
      <w:r w:rsidR="00097401">
        <w:rPr>
          <w:rFonts w:ascii="Times New Roman" w:hAnsi="Times New Roman" w:cs="Times New Roman"/>
          <w:color w:val="auto"/>
        </w:rPr>
        <w:t xml:space="preserve"> 2014</w:t>
      </w:r>
      <w:r>
        <w:rPr>
          <w:rFonts w:ascii="Times New Roman" w:hAnsi="Times New Roman" w:cs="Times New Roman"/>
          <w:color w:val="auto"/>
        </w:rPr>
        <w:t>: he work</w:t>
      </w:r>
      <w:r w:rsidR="00097401">
        <w:rPr>
          <w:rFonts w:ascii="Times New Roman" w:hAnsi="Times New Roman" w:cs="Times New Roman"/>
          <w:color w:val="auto"/>
        </w:rPr>
        <w:t>ed</w:t>
      </w:r>
      <w:r>
        <w:rPr>
          <w:rFonts w:ascii="Times New Roman" w:hAnsi="Times New Roman" w:cs="Times New Roman"/>
          <w:color w:val="auto"/>
        </w:rPr>
        <w:t xml:space="preserve"> for eleven months for INFUSE, from February to December 2014</w:t>
      </w:r>
      <w:r w:rsidR="00CA347D">
        <w:rPr>
          <w:rFonts w:ascii="Times New Roman" w:hAnsi="Times New Roman" w:cs="Times New Roman"/>
          <w:color w:val="auto"/>
        </w:rPr>
        <w:t>.</w:t>
      </w:r>
      <w:r>
        <w:rPr>
          <w:rFonts w:ascii="Times New Roman" w:hAnsi="Times New Roman" w:cs="Times New Roman"/>
          <w:color w:val="auto"/>
        </w:rPr>
        <w:t xml:space="preserve"> </w:t>
      </w:r>
      <w:bookmarkEnd w:id="21"/>
      <w:bookmarkEnd w:id="22"/>
      <w:bookmarkEnd w:id="23"/>
    </w:p>
    <w:sectPr w:rsidR="00505F3C" w:rsidSect="002D15AE">
      <w:pgSz w:w="12240" w:h="15840"/>
      <w:pgMar w:top="1296" w:right="720" w:bottom="144" w:left="634"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Fiona Bayat" w:date="2015-04-21T09:06:00Z" w:initials="FB">
    <w:p w14:paraId="35246633" w14:textId="77777777" w:rsidR="00F62C22" w:rsidRDefault="00F62C22">
      <w:pPr>
        <w:pStyle w:val="CommentText"/>
      </w:pPr>
      <w:r>
        <w:rPr>
          <w:rStyle w:val="CommentReference"/>
        </w:rPr>
        <w:annotationRef/>
      </w:r>
      <w:r>
        <w:t xml:space="preserve">This MUST be a FINAL REPORT. Pls revise accordingly. </w:t>
      </w:r>
    </w:p>
  </w:comment>
  <w:comment w:id="2" w:author="Fiona Bayat" w:date="2015-04-21T09:07:00Z" w:initials="FB">
    <w:p w14:paraId="50718A0B" w14:textId="77777777" w:rsidR="00F62C22" w:rsidRDefault="00F62C22">
      <w:pPr>
        <w:pStyle w:val="CommentText"/>
      </w:pPr>
      <w:r>
        <w:rPr>
          <w:rStyle w:val="CommentReference"/>
        </w:rPr>
        <w:annotationRef/>
      </w:r>
      <w:r>
        <w:t xml:space="preserve">As a final report it should cover the entire programme duration. </w:t>
      </w:r>
    </w:p>
  </w:comment>
  <w:comment w:id="13" w:author="Fiona Bayat" w:date="2015-04-21T09:21:00Z" w:initials="FB">
    <w:p w14:paraId="2EC9A7D5" w14:textId="77777777" w:rsidR="00F62C22" w:rsidRDefault="00F62C22">
      <w:pPr>
        <w:pStyle w:val="CommentText"/>
      </w:pPr>
      <w:r>
        <w:rPr>
          <w:rStyle w:val="CommentReference"/>
        </w:rPr>
        <w:annotationRef/>
      </w:r>
      <w:r>
        <w:t xml:space="preserve">These are the full amounts that were contributed. The JP would have received this amount less the 1% AA fee. Nonetheless, it is important to reflect the full contribution received. </w:t>
      </w:r>
      <w:r w:rsidR="001D1996">
        <w:t xml:space="preserve">Please see the GATEWAY for details in this regard. </w:t>
      </w:r>
    </w:p>
  </w:comment>
  <w:comment w:id="37" w:author="Fiona Bayat" w:date="2015-04-21T09:10:00Z" w:initials="FB">
    <w:p w14:paraId="09385612" w14:textId="77777777" w:rsidR="00F62C22" w:rsidRDefault="00F62C22">
      <w:pPr>
        <w:pStyle w:val="CommentText"/>
      </w:pPr>
      <w:r>
        <w:rPr>
          <w:rStyle w:val="CommentReference"/>
        </w:rPr>
        <w:annotationRef/>
      </w:r>
      <w:r>
        <w:t xml:space="preserve">Please revise to report over the entire JP duration as this is a final report. </w:t>
      </w:r>
    </w:p>
  </w:comment>
  <w:comment w:id="45" w:author="Fiona Bayat" w:date="2015-04-21T09:11:00Z" w:initials="FB">
    <w:p w14:paraId="514AB326" w14:textId="77777777" w:rsidR="00F62C22" w:rsidRDefault="00F62C22">
      <w:pPr>
        <w:pStyle w:val="CommentText"/>
      </w:pPr>
      <w:r>
        <w:rPr>
          <w:rStyle w:val="CommentReference"/>
        </w:rPr>
        <w:annotationRef/>
      </w:r>
      <w:r>
        <w:t>There is an odd mini table within this table (see rows Outstanding loan portfolio and deposits). Pls correct</w:t>
      </w:r>
    </w:p>
  </w:comment>
  <w:comment w:id="59" w:author="Fiona Bayat" w:date="2015-04-21T09:12:00Z" w:initials="FB">
    <w:p w14:paraId="39C7A500" w14:textId="77777777" w:rsidR="00F62C22" w:rsidRDefault="00F62C22">
      <w:pPr>
        <w:pStyle w:val="CommentText"/>
      </w:pPr>
      <w:r>
        <w:rPr>
          <w:rStyle w:val="CommentReference"/>
        </w:rPr>
        <w:annotationRef/>
      </w:r>
      <w:r>
        <w:t xml:space="preserve">We are still waiting to receive a letter that will enable our office to cancel this $100,000 commitment. Most grateful if you could send us one.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246633" w15:done="0"/>
  <w15:commentEx w15:paraId="50718A0B" w15:done="0"/>
  <w15:commentEx w15:paraId="2EC9A7D5" w15:done="0"/>
  <w15:commentEx w15:paraId="09385612" w15:done="0"/>
  <w15:commentEx w15:paraId="514AB326" w15:done="0"/>
  <w15:commentEx w15:paraId="39C7A5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B5033" w14:textId="77777777" w:rsidR="004C5CB8" w:rsidRDefault="004C5CB8">
      <w:r>
        <w:separator/>
      </w:r>
    </w:p>
  </w:endnote>
  <w:endnote w:type="continuationSeparator" w:id="0">
    <w:p w14:paraId="6F8E22BC" w14:textId="77777777" w:rsidR="004C5CB8" w:rsidRDefault="004C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onaco">
    <w:altName w:val="Courier New"/>
    <w:charset w:val="00"/>
    <w:family w:val="modern"/>
    <w:pitch w:val="fixed"/>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3A7E8" w14:textId="77777777" w:rsidR="00D60B08" w:rsidRDefault="00D60B08">
    <w:pPr>
      <w:pStyle w:val="Footer"/>
      <w:pBdr>
        <w:top w:val="single" w:sz="4" w:space="0" w:color="000000"/>
        <w:left w:val="single" w:sz="4" w:space="0" w:color="000000"/>
        <w:bottom w:val="single" w:sz="4" w:space="0" w:color="000000"/>
        <w:right w:val="single" w:sz="4" w:space="0" w:color="000000"/>
      </w:pBdr>
      <w:tabs>
        <w:tab w:val="clear" w:pos="4320"/>
        <w:tab w:val="clear" w:pos="8640"/>
        <w:tab w:val="center" w:pos="4500"/>
        <w:tab w:val="right" w:pos="9000"/>
      </w:tabs>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5C0BD2">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5C0BD2">
      <w:rPr>
        <w:rFonts w:ascii="Arial" w:hAnsi="Arial" w:cs="Arial"/>
        <w:noProof/>
        <w:sz w:val="18"/>
        <w:szCs w:val="18"/>
      </w:rPr>
      <w:t>17</w:t>
    </w:r>
    <w:r>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8D8A3" w14:textId="77777777" w:rsidR="004C5CB8" w:rsidRDefault="004C5CB8">
      <w:r>
        <w:rPr>
          <w:color w:val="000000"/>
        </w:rPr>
        <w:separator/>
      </w:r>
    </w:p>
  </w:footnote>
  <w:footnote w:type="continuationSeparator" w:id="0">
    <w:p w14:paraId="0F5187D0" w14:textId="77777777" w:rsidR="004C5CB8" w:rsidRDefault="004C5CB8">
      <w:r>
        <w:continuationSeparator/>
      </w:r>
    </w:p>
  </w:footnote>
  <w:footnote w:id="1">
    <w:p w14:paraId="4A64F282" w14:textId="77777777" w:rsidR="00D60B08" w:rsidRDefault="00D60B08" w:rsidP="00706241">
      <w:pPr>
        <w:pStyle w:val="FootnoteText"/>
      </w:pPr>
      <w:r>
        <w:rPr>
          <w:rStyle w:val="FootnoteReference"/>
        </w:rPr>
        <w:footnoteRef/>
      </w:r>
      <w:r>
        <w:t xml:space="preserve"> UNCDF completed the original INFUSE programme design in 2005 and revised the document after the 2006 civil unrest, which caused the cessation of many microfinance institutions. As a result, AMFITIL has been inactive since 2007 and currently the few remaining members (4) have resisted any encouragement to re-activate the association at this time. In May, 2011, it was proposed that since these indicators have become obsolete, they should be replaced with targets which reflect activities focused on strengthening sector support services.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CE6"/>
    <w:multiLevelType w:val="multilevel"/>
    <w:tmpl w:val="77BABA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E04A42"/>
    <w:multiLevelType w:val="multilevel"/>
    <w:tmpl w:val="F8DE179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540757"/>
    <w:multiLevelType w:val="multilevel"/>
    <w:tmpl w:val="AB6835D8"/>
    <w:lvl w:ilvl="0">
      <w:numFmt w:val="bullet"/>
      <w:lvlText w:val=""/>
      <w:lvlJc w:val="left"/>
      <w:pPr>
        <w:ind w:left="432" w:hanging="432"/>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BAA2565"/>
    <w:multiLevelType w:val="multilevel"/>
    <w:tmpl w:val="A9BC37E8"/>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C64087D"/>
    <w:multiLevelType w:val="hybridMultilevel"/>
    <w:tmpl w:val="AE043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E60E0C"/>
    <w:multiLevelType w:val="multilevel"/>
    <w:tmpl w:val="243C8C8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022600"/>
    <w:multiLevelType w:val="hybridMultilevel"/>
    <w:tmpl w:val="EF485D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70181A"/>
    <w:multiLevelType w:val="multilevel"/>
    <w:tmpl w:val="B9D6C87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20C430EF"/>
    <w:multiLevelType w:val="multilevel"/>
    <w:tmpl w:val="ECC28E0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Aria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Arial"/>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Arial"/>
      </w:rPr>
    </w:lvl>
    <w:lvl w:ilvl="8">
      <w:numFmt w:val="bullet"/>
      <w:lvlText w:val=""/>
      <w:lvlJc w:val="left"/>
      <w:pPr>
        <w:ind w:left="6120" w:hanging="360"/>
      </w:pPr>
      <w:rPr>
        <w:rFonts w:ascii="Wingdings" w:hAnsi="Wingdings"/>
      </w:rPr>
    </w:lvl>
  </w:abstractNum>
  <w:abstractNum w:abstractNumId="9" w15:restartNumberingAfterBreak="0">
    <w:nsid w:val="228F08D3"/>
    <w:multiLevelType w:val="multilevel"/>
    <w:tmpl w:val="674C47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3AA67A4"/>
    <w:multiLevelType w:val="multilevel"/>
    <w:tmpl w:val="85AC93F2"/>
    <w:lvl w:ilvl="0">
      <w:numFmt w:val="bullet"/>
      <w:lvlText w:val="-"/>
      <w:lvlJc w:val="left"/>
      <w:pPr>
        <w:ind w:left="360" w:hanging="360"/>
      </w:pPr>
      <w:rPr>
        <w:rFonts w:ascii="Calibri" w:eastAsia="Times New Roman"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AA003E5"/>
    <w:multiLevelType w:val="multilevel"/>
    <w:tmpl w:val="0D7CAB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2" w15:restartNumberingAfterBreak="0">
    <w:nsid w:val="2D205DDD"/>
    <w:multiLevelType w:val="hybridMultilevel"/>
    <w:tmpl w:val="F6A01C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DF242A"/>
    <w:multiLevelType w:val="multilevel"/>
    <w:tmpl w:val="170C8EA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Symbol"/>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Symbol"/>
      </w:rPr>
    </w:lvl>
    <w:lvl w:ilvl="8">
      <w:numFmt w:val="bullet"/>
      <w:lvlText w:val=""/>
      <w:lvlJc w:val="left"/>
      <w:pPr>
        <w:ind w:left="6120" w:hanging="360"/>
      </w:pPr>
      <w:rPr>
        <w:rFonts w:ascii="Wingdings" w:hAnsi="Wingdings"/>
      </w:rPr>
    </w:lvl>
  </w:abstractNum>
  <w:abstractNum w:abstractNumId="14" w15:restartNumberingAfterBreak="0">
    <w:nsid w:val="329831A1"/>
    <w:multiLevelType w:val="multilevel"/>
    <w:tmpl w:val="6D2493E4"/>
    <w:lvl w:ilvl="0">
      <w:numFmt w:val="bullet"/>
      <w:lvlText w:val="-"/>
      <w:lvlJc w:val="left"/>
      <w:pPr>
        <w:ind w:left="720" w:hanging="360"/>
      </w:pPr>
      <w:rPr>
        <w:rFonts w:ascii="Calibri" w:eastAsia="Times New Roman" w:hAnsi="Calibri" w:cs="Times New Roman"/>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ymbo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ymbol"/>
      </w:rPr>
    </w:lvl>
    <w:lvl w:ilvl="8">
      <w:numFmt w:val="bullet"/>
      <w:lvlText w:val=""/>
      <w:lvlJc w:val="left"/>
      <w:pPr>
        <w:ind w:left="6480" w:hanging="360"/>
      </w:pPr>
      <w:rPr>
        <w:rFonts w:ascii="Wingdings" w:hAnsi="Wingdings"/>
      </w:rPr>
    </w:lvl>
  </w:abstractNum>
  <w:abstractNum w:abstractNumId="15" w15:restartNumberingAfterBreak="0">
    <w:nsid w:val="373E0483"/>
    <w:multiLevelType w:val="hybridMultilevel"/>
    <w:tmpl w:val="774AE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DA620E"/>
    <w:multiLevelType w:val="multilevel"/>
    <w:tmpl w:val="F3D861DE"/>
    <w:lvl w:ilvl="0">
      <w:numFmt w:val="bullet"/>
      <w:lvlText w:val=""/>
      <w:lvlJc w:val="left"/>
      <w:pPr>
        <w:ind w:left="432" w:hanging="432"/>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3DFE73FA"/>
    <w:multiLevelType w:val="hybridMultilevel"/>
    <w:tmpl w:val="3042D8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0CE5A31"/>
    <w:multiLevelType w:val="hybridMultilevel"/>
    <w:tmpl w:val="ABC8A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1A1750"/>
    <w:multiLevelType w:val="multilevel"/>
    <w:tmpl w:val="19EA9826"/>
    <w:styleLink w:val="LFO17"/>
    <w:lvl w:ilvl="0">
      <w:numFmt w:val="bullet"/>
      <w:pStyle w:val="Bulletlevel1"/>
      <w:lvlText w:val="­"/>
      <w:lvlJc w:val="left"/>
      <w:pPr>
        <w:ind w:left="360" w:hanging="360"/>
      </w:pPr>
      <w:rPr>
        <w:rFonts w:ascii="Cambria" w:hAnsi="Cambria"/>
        <w:sz w:val="22"/>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0" w15:restartNumberingAfterBreak="0">
    <w:nsid w:val="4ABC4C83"/>
    <w:multiLevelType w:val="multilevel"/>
    <w:tmpl w:val="ACFA6D54"/>
    <w:lvl w:ilvl="0">
      <w:numFmt w:val="bullet"/>
      <w:lvlText w:val=""/>
      <w:lvlJc w:val="left"/>
      <w:pPr>
        <w:ind w:left="360" w:hanging="360"/>
      </w:pPr>
      <w:rPr>
        <w:rFonts w:ascii="Symbol" w:hAnsi="Symbol"/>
      </w:rPr>
    </w:lvl>
    <w:lvl w:ilvl="1">
      <w:numFmt w:val="bullet"/>
      <w:lvlText w:val=""/>
      <w:lvlJc w:val="left"/>
      <w:pPr>
        <w:ind w:left="360" w:hanging="360"/>
      </w:pPr>
      <w:rPr>
        <w:rFonts w:ascii="Symbol" w:hAnsi="Symbol"/>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1" w15:restartNumberingAfterBreak="0">
    <w:nsid w:val="4DDA6BA0"/>
    <w:multiLevelType w:val="multilevel"/>
    <w:tmpl w:val="4DB222C0"/>
    <w:lvl w:ilvl="0">
      <w:start w:val="1"/>
      <w:numFmt w:val="upperRoman"/>
      <w:lvlText w:val="%1."/>
      <w:lvlJc w:val="left"/>
      <w:pPr>
        <w:ind w:left="207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503B2242"/>
    <w:multiLevelType w:val="multilevel"/>
    <w:tmpl w:val="F94A1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rPr>
    </w:lvl>
    <w:lvl w:ilvl="8">
      <w:numFmt w:val="bullet"/>
      <w:lvlText w:val=""/>
      <w:lvlJc w:val="left"/>
      <w:pPr>
        <w:ind w:left="6480" w:hanging="360"/>
      </w:pPr>
      <w:rPr>
        <w:rFonts w:ascii="Wingdings" w:hAnsi="Wingdings"/>
      </w:rPr>
    </w:lvl>
  </w:abstractNum>
  <w:abstractNum w:abstractNumId="23" w15:restartNumberingAfterBreak="0">
    <w:nsid w:val="554870F6"/>
    <w:multiLevelType w:val="multilevel"/>
    <w:tmpl w:val="C9486F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96B1FB8"/>
    <w:multiLevelType w:val="hybridMultilevel"/>
    <w:tmpl w:val="F4C28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920760"/>
    <w:multiLevelType w:val="multilevel"/>
    <w:tmpl w:val="B9D6C87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5E106736"/>
    <w:multiLevelType w:val="multilevel"/>
    <w:tmpl w:val="B060EB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ymbo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ymbol"/>
      </w:rPr>
    </w:lvl>
    <w:lvl w:ilvl="8">
      <w:numFmt w:val="bullet"/>
      <w:lvlText w:val=""/>
      <w:lvlJc w:val="left"/>
      <w:pPr>
        <w:ind w:left="6480" w:hanging="360"/>
      </w:pPr>
      <w:rPr>
        <w:rFonts w:ascii="Wingdings" w:hAnsi="Wingdings"/>
      </w:rPr>
    </w:lvl>
  </w:abstractNum>
  <w:abstractNum w:abstractNumId="27" w15:restartNumberingAfterBreak="0">
    <w:nsid w:val="63BD0EC4"/>
    <w:multiLevelType w:val="multilevel"/>
    <w:tmpl w:val="6F66209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F27510"/>
    <w:multiLevelType w:val="multilevel"/>
    <w:tmpl w:val="ACFA6D54"/>
    <w:lvl w:ilvl="0">
      <w:numFmt w:val="bullet"/>
      <w:lvlText w:val=""/>
      <w:lvlJc w:val="left"/>
      <w:pPr>
        <w:ind w:left="360" w:hanging="360"/>
      </w:pPr>
      <w:rPr>
        <w:rFonts w:ascii="Symbol" w:hAnsi="Symbol"/>
      </w:rPr>
    </w:lvl>
    <w:lvl w:ilvl="1">
      <w:numFmt w:val="bullet"/>
      <w:lvlText w:val=""/>
      <w:lvlJc w:val="left"/>
      <w:pPr>
        <w:ind w:left="360" w:hanging="360"/>
      </w:pPr>
      <w:rPr>
        <w:rFonts w:ascii="Symbol" w:hAnsi="Symbol"/>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9" w15:restartNumberingAfterBreak="0">
    <w:nsid w:val="6D466615"/>
    <w:multiLevelType w:val="multilevel"/>
    <w:tmpl w:val="241A8254"/>
    <w:lvl w:ilvl="0">
      <w:numFmt w:val="bullet"/>
      <w:lvlText w:val="o"/>
      <w:lvlJc w:val="left"/>
      <w:pPr>
        <w:ind w:left="720" w:hanging="360"/>
      </w:pPr>
      <w:rPr>
        <w:rFonts w:ascii="Courier New" w:hAnsi="Courier New" w:cs="Courier New"/>
      </w:rPr>
    </w:lvl>
    <w:lvl w:ilvl="1">
      <w:numFmt w:val="bullet"/>
      <w:lvlText w:val=""/>
      <w:lvlJc w:val="left"/>
      <w:pPr>
        <w:ind w:left="1440" w:hanging="360"/>
      </w:pPr>
      <w:rPr>
        <w:rFonts w:ascii="Symbol" w:hAnsi="Symbol"/>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rPr>
    </w:lvl>
    <w:lvl w:ilvl="8">
      <w:numFmt w:val="bullet"/>
      <w:lvlText w:val=""/>
      <w:lvlJc w:val="left"/>
      <w:pPr>
        <w:ind w:left="6480" w:hanging="360"/>
      </w:pPr>
      <w:rPr>
        <w:rFonts w:ascii="Wingdings" w:hAnsi="Wingdings"/>
      </w:rPr>
    </w:lvl>
  </w:abstractNum>
  <w:abstractNum w:abstractNumId="30" w15:restartNumberingAfterBreak="0">
    <w:nsid w:val="70677713"/>
    <w:multiLevelType w:val="multilevel"/>
    <w:tmpl w:val="ACFA6D54"/>
    <w:lvl w:ilvl="0">
      <w:numFmt w:val="bullet"/>
      <w:lvlText w:val=""/>
      <w:lvlJc w:val="left"/>
      <w:pPr>
        <w:ind w:left="360" w:hanging="360"/>
      </w:pPr>
      <w:rPr>
        <w:rFonts w:ascii="Symbol" w:hAnsi="Symbol"/>
      </w:rPr>
    </w:lvl>
    <w:lvl w:ilvl="1">
      <w:numFmt w:val="bullet"/>
      <w:lvlText w:val=""/>
      <w:lvlJc w:val="left"/>
      <w:pPr>
        <w:ind w:left="360" w:hanging="360"/>
      </w:pPr>
      <w:rPr>
        <w:rFonts w:ascii="Symbol" w:hAnsi="Symbol"/>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1" w15:restartNumberingAfterBreak="0">
    <w:nsid w:val="7A3F1072"/>
    <w:multiLevelType w:val="multilevel"/>
    <w:tmpl w:val="151E890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C93736C"/>
    <w:multiLevelType w:val="hybridMultilevel"/>
    <w:tmpl w:val="11C28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3"/>
  </w:num>
  <w:num w:numId="3">
    <w:abstractNumId w:val="0"/>
  </w:num>
  <w:num w:numId="4">
    <w:abstractNumId w:val="9"/>
  </w:num>
  <w:num w:numId="5">
    <w:abstractNumId w:val="1"/>
  </w:num>
  <w:num w:numId="6">
    <w:abstractNumId w:val="21"/>
  </w:num>
  <w:num w:numId="7">
    <w:abstractNumId w:val="13"/>
  </w:num>
  <w:num w:numId="8">
    <w:abstractNumId w:val="2"/>
  </w:num>
  <w:num w:numId="9">
    <w:abstractNumId w:val="3"/>
  </w:num>
  <w:num w:numId="10">
    <w:abstractNumId w:val="8"/>
  </w:num>
  <w:num w:numId="11">
    <w:abstractNumId w:val="22"/>
  </w:num>
  <w:num w:numId="12">
    <w:abstractNumId w:val="26"/>
  </w:num>
  <w:num w:numId="13">
    <w:abstractNumId w:val="16"/>
  </w:num>
  <w:num w:numId="14">
    <w:abstractNumId w:val="30"/>
  </w:num>
  <w:num w:numId="15">
    <w:abstractNumId w:val="27"/>
  </w:num>
  <w:num w:numId="16">
    <w:abstractNumId w:val="5"/>
  </w:num>
  <w:num w:numId="17">
    <w:abstractNumId w:val="11"/>
  </w:num>
  <w:num w:numId="18">
    <w:abstractNumId w:val="29"/>
  </w:num>
  <w:num w:numId="19">
    <w:abstractNumId w:val="7"/>
  </w:num>
  <w:num w:numId="20">
    <w:abstractNumId w:val="14"/>
  </w:num>
  <w:num w:numId="21">
    <w:abstractNumId w:val="31"/>
  </w:num>
  <w:num w:numId="22">
    <w:abstractNumId w:val="10"/>
  </w:num>
  <w:num w:numId="23">
    <w:abstractNumId w:val="19"/>
  </w:num>
  <w:num w:numId="24">
    <w:abstractNumId w:val="19"/>
  </w:num>
  <w:num w:numId="25">
    <w:abstractNumId w:val="19"/>
  </w:num>
  <w:num w:numId="26">
    <w:abstractNumId w:val="25"/>
  </w:num>
  <w:num w:numId="27">
    <w:abstractNumId w:val="28"/>
  </w:num>
  <w:num w:numId="28">
    <w:abstractNumId w:val="20"/>
  </w:num>
  <w:num w:numId="29">
    <w:abstractNumId w:val="32"/>
  </w:num>
  <w:num w:numId="30">
    <w:abstractNumId w:val="12"/>
  </w:num>
  <w:num w:numId="31">
    <w:abstractNumId w:val="6"/>
  </w:num>
  <w:num w:numId="32">
    <w:abstractNumId w:val="17"/>
  </w:num>
  <w:num w:numId="33">
    <w:abstractNumId w:val="15"/>
  </w:num>
  <w:num w:numId="34">
    <w:abstractNumId w:val="24"/>
  </w:num>
  <w:num w:numId="35">
    <w:abstractNumId w:val="18"/>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40"/>
    <w:rsid w:val="00005995"/>
    <w:rsid w:val="00006E71"/>
    <w:rsid w:val="000278ED"/>
    <w:rsid w:val="00032EBE"/>
    <w:rsid w:val="000337F0"/>
    <w:rsid w:val="00035340"/>
    <w:rsid w:val="000425BA"/>
    <w:rsid w:val="00043EC3"/>
    <w:rsid w:val="0006009B"/>
    <w:rsid w:val="00086CFA"/>
    <w:rsid w:val="00094ECA"/>
    <w:rsid w:val="00097401"/>
    <w:rsid w:val="000A21D9"/>
    <w:rsid w:val="000D10BF"/>
    <w:rsid w:val="000D182D"/>
    <w:rsid w:val="000D7ACA"/>
    <w:rsid w:val="000F243D"/>
    <w:rsid w:val="000F4759"/>
    <w:rsid w:val="00104F56"/>
    <w:rsid w:val="00110EBE"/>
    <w:rsid w:val="00111F17"/>
    <w:rsid w:val="001205F0"/>
    <w:rsid w:val="001322C8"/>
    <w:rsid w:val="00141B12"/>
    <w:rsid w:val="001439B2"/>
    <w:rsid w:val="00143EDA"/>
    <w:rsid w:val="00147DEB"/>
    <w:rsid w:val="001531D3"/>
    <w:rsid w:val="00157D2B"/>
    <w:rsid w:val="00160514"/>
    <w:rsid w:val="0016211B"/>
    <w:rsid w:val="00165BCE"/>
    <w:rsid w:val="00173EF6"/>
    <w:rsid w:val="001763AE"/>
    <w:rsid w:val="00193133"/>
    <w:rsid w:val="001A073D"/>
    <w:rsid w:val="001A4A54"/>
    <w:rsid w:val="001A5D81"/>
    <w:rsid w:val="001C36B1"/>
    <w:rsid w:val="001C7710"/>
    <w:rsid w:val="001D1737"/>
    <w:rsid w:val="001D1996"/>
    <w:rsid w:val="001D590E"/>
    <w:rsid w:val="001E181D"/>
    <w:rsid w:val="001E2939"/>
    <w:rsid w:val="001F2E2C"/>
    <w:rsid w:val="001F7102"/>
    <w:rsid w:val="00200F6C"/>
    <w:rsid w:val="002251B6"/>
    <w:rsid w:val="00230AA1"/>
    <w:rsid w:val="00245C3A"/>
    <w:rsid w:val="00246BE1"/>
    <w:rsid w:val="0025742F"/>
    <w:rsid w:val="00257F9B"/>
    <w:rsid w:val="0026111E"/>
    <w:rsid w:val="00262FEC"/>
    <w:rsid w:val="00265FD3"/>
    <w:rsid w:val="00277238"/>
    <w:rsid w:val="002779B1"/>
    <w:rsid w:val="00290BC9"/>
    <w:rsid w:val="00296616"/>
    <w:rsid w:val="002A4A08"/>
    <w:rsid w:val="002C2D23"/>
    <w:rsid w:val="002C51B7"/>
    <w:rsid w:val="002C5A8A"/>
    <w:rsid w:val="002C7210"/>
    <w:rsid w:val="002D15AE"/>
    <w:rsid w:val="002D6FC2"/>
    <w:rsid w:val="002E3FC7"/>
    <w:rsid w:val="002F3DCC"/>
    <w:rsid w:val="002F7EBC"/>
    <w:rsid w:val="003108F3"/>
    <w:rsid w:val="00312600"/>
    <w:rsid w:val="00316077"/>
    <w:rsid w:val="00320ADC"/>
    <w:rsid w:val="00323C67"/>
    <w:rsid w:val="003254C5"/>
    <w:rsid w:val="0035630F"/>
    <w:rsid w:val="003640CD"/>
    <w:rsid w:val="0038533D"/>
    <w:rsid w:val="00386894"/>
    <w:rsid w:val="00395515"/>
    <w:rsid w:val="003C4057"/>
    <w:rsid w:val="003D4FD4"/>
    <w:rsid w:val="003E102B"/>
    <w:rsid w:val="003E351B"/>
    <w:rsid w:val="003F5317"/>
    <w:rsid w:val="0040272B"/>
    <w:rsid w:val="0040354C"/>
    <w:rsid w:val="00417C84"/>
    <w:rsid w:val="00431232"/>
    <w:rsid w:val="0043157F"/>
    <w:rsid w:val="004421AB"/>
    <w:rsid w:val="00444D95"/>
    <w:rsid w:val="0045671C"/>
    <w:rsid w:val="00463258"/>
    <w:rsid w:val="00475F7F"/>
    <w:rsid w:val="0048659F"/>
    <w:rsid w:val="0049333F"/>
    <w:rsid w:val="004B4E57"/>
    <w:rsid w:val="004C5CB8"/>
    <w:rsid w:val="004C710D"/>
    <w:rsid w:val="004D0477"/>
    <w:rsid w:val="004E31E5"/>
    <w:rsid w:val="004E7762"/>
    <w:rsid w:val="00505F3C"/>
    <w:rsid w:val="00506702"/>
    <w:rsid w:val="00512274"/>
    <w:rsid w:val="0051444D"/>
    <w:rsid w:val="00555F47"/>
    <w:rsid w:val="00573F4A"/>
    <w:rsid w:val="00583D48"/>
    <w:rsid w:val="005B5E46"/>
    <w:rsid w:val="005C0BD2"/>
    <w:rsid w:val="005C3B1C"/>
    <w:rsid w:val="005C3EDA"/>
    <w:rsid w:val="005F3E9B"/>
    <w:rsid w:val="00604875"/>
    <w:rsid w:val="00604D35"/>
    <w:rsid w:val="00607C16"/>
    <w:rsid w:val="00610E88"/>
    <w:rsid w:val="00611173"/>
    <w:rsid w:val="0061388C"/>
    <w:rsid w:val="00633FCD"/>
    <w:rsid w:val="006424A6"/>
    <w:rsid w:val="00647083"/>
    <w:rsid w:val="0065087D"/>
    <w:rsid w:val="00662D62"/>
    <w:rsid w:val="00663A97"/>
    <w:rsid w:val="00684F50"/>
    <w:rsid w:val="006B7ECE"/>
    <w:rsid w:val="006C458F"/>
    <w:rsid w:val="006C6E7A"/>
    <w:rsid w:val="006C76C2"/>
    <w:rsid w:val="00702580"/>
    <w:rsid w:val="00706241"/>
    <w:rsid w:val="007069E0"/>
    <w:rsid w:val="007122BA"/>
    <w:rsid w:val="0071547F"/>
    <w:rsid w:val="00733CF2"/>
    <w:rsid w:val="0074081D"/>
    <w:rsid w:val="007752D2"/>
    <w:rsid w:val="00795276"/>
    <w:rsid w:val="007A347D"/>
    <w:rsid w:val="007B3729"/>
    <w:rsid w:val="007C3041"/>
    <w:rsid w:val="007C576E"/>
    <w:rsid w:val="007D50EE"/>
    <w:rsid w:val="007F214E"/>
    <w:rsid w:val="008067D2"/>
    <w:rsid w:val="00806D68"/>
    <w:rsid w:val="00815FB6"/>
    <w:rsid w:val="00817BC9"/>
    <w:rsid w:val="00824C43"/>
    <w:rsid w:val="0082712F"/>
    <w:rsid w:val="00836B80"/>
    <w:rsid w:val="00847A7C"/>
    <w:rsid w:val="008506BD"/>
    <w:rsid w:val="00860CE1"/>
    <w:rsid w:val="008749E0"/>
    <w:rsid w:val="0088275C"/>
    <w:rsid w:val="0088522A"/>
    <w:rsid w:val="00887CFC"/>
    <w:rsid w:val="00894253"/>
    <w:rsid w:val="008B3B96"/>
    <w:rsid w:val="008B5777"/>
    <w:rsid w:val="008C6FEA"/>
    <w:rsid w:val="008D0041"/>
    <w:rsid w:val="008D083E"/>
    <w:rsid w:val="008D5128"/>
    <w:rsid w:val="008F7A5F"/>
    <w:rsid w:val="00900DC3"/>
    <w:rsid w:val="00900EFF"/>
    <w:rsid w:val="00951DAB"/>
    <w:rsid w:val="0095422C"/>
    <w:rsid w:val="009751B2"/>
    <w:rsid w:val="009875C4"/>
    <w:rsid w:val="0098788E"/>
    <w:rsid w:val="00993A44"/>
    <w:rsid w:val="00997681"/>
    <w:rsid w:val="009A56B1"/>
    <w:rsid w:val="009B07CD"/>
    <w:rsid w:val="009B2505"/>
    <w:rsid w:val="009B69CC"/>
    <w:rsid w:val="009C32B0"/>
    <w:rsid w:val="009D48F2"/>
    <w:rsid w:val="009F7193"/>
    <w:rsid w:val="00A03B5D"/>
    <w:rsid w:val="00A11B9C"/>
    <w:rsid w:val="00A17CEE"/>
    <w:rsid w:val="00A22AD4"/>
    <w:rsid w:val="00A348F7"/>
    <w:rsid w:val="00A448C1"/>
    <w:rsid w:val="00A47EE2"/>
    <w:rsid w:val="00A53A63"/>
    <w:rsid w:val="00A543FF"/>
    <w:rsid w:val="00A607C7"/>
    <w:rsid w:val="00A67A87"/>
    <w:rsid w:val="00AA7FF5"/>
    <w:rsid w:val="00AC30E7"/>
    <w:rsid w:val="00AC3FD4"/>
    <w:rsid w:val="00AD280C"/>
    <w:rsid w:val="00AE40A5"/>
    <w:rsid w:val="00AE42FD"/>
    <w:rsid w:val="00AF429B"/>
    <w:rsid w:val="00AF761D"/>
    <w:rsid w:val="00B06ED6"/>
    <w:rsid w:val="00B10050"/>
    <w:rsid w:val="00B30F8A"/>
    <w:rsid w:val="00B4235B"/>
    <w:rsid w:val="00B43398"/>
    <w:rsid w:val="00B468AC"/>
    <w:rsid w:val="00B645FC"/>
    <w:rsid w:val="00B777B3"/>
    <w:rsid w:val="00B875CD"/>
    <w:rsid w:val="00BA0FD3"/>
    <w:rsid w:val="00BA1157"/>
    <w:rsid w:val="00BA7DAE"/>
    <w:rsid w:val="00BC1E45"/>
    <w:rsid w:val="00BC2973"/>
    <w:rsid w:val="00BD08A3"/>
    <w:rsid w:val="00BD159D"/>
    <w:rsid w:val="00BD2D6A"/>
    <w:rsid w:val="00BD4DB0"/>
    <w:rsid w:val="00BF67C9"/>
    <w:rsid w:val="00C00511"/>
    <w:rsid w:val="00C020DD"/>
    <w:rsid w:val="00C04B18"/>
    <w:rsid w:val="00C172FD"/>
    <w:rsid w:val="00C33AA9"/>
    <w:rsid w:val="00C46310"/>
    <w:rsid w:val="00C47987"/>
    <w:rsid w:val="00C51543"/>
    <w:rsid w:val="00C8184D"/>
    <w:rsid w:val="00C84290"/>
    <w:rsid w:val="00C85D6E"/>
    <w:rsid w:val="00C865CD"/>
    <w:rsid w:val="00C87D13"/>
    <w:rsid w:val="00C91272"/>
    <w:rsid w:val="00CA347D"/>
    <w:rsid w:val="00CA7434"/>
    <w:rsid w:val="00CE7E65"/>
    <w:rsid w:val="00D14030"/>
    <w:rsid w:val="00D15C9C"/>
    <w:rsid w:val="00D60B08"/>
    <w:rsid w:val="00D63E1E"/>
    <w:rsid w:val="00D67E5A"/>
    <w:rsid w:val="00D81019"/>
    <w:rsid w:val="00D837DD"/>
    <w:rsid w:val="00D848A5"/>
    <w:rsid w:val="00D86ADE"/>
    <w:rsid w:val="00D87230"/>
    <w:rsid w:val="00D90C6F"/>
    <w:rsid w:val="00D91D01"/>
    <w:rsid w:val="00DB2CFB"/>
    <w:rsid w:val="00DC7C62"/>
    <w:rsid w:val="00DE226F"/>
    <w:rsid w:val="00DF4ADF"/>
    <w:rsid w:val="00DF7E57"/>
    <w:rsid w:val="00E128F4"/>
    <w:rsid w:val="00E13C78"/>
    <w:rsid w:val="00E2136B"/>
    <w:rsid w:val="00E502C9"/>
    <w:rsid w:val="00E50CCA"/>
    <w:rsid w:val="00E521D3"/>
    <w:rsid w:val="00E54101"/>
    <w:rsid w:val="00E7165C"/>
    <w:rsid w:val="00E7789B"/>
    <w:rsid w:val="00E814C1"/>
    <w:rsid w:val="00E81F0D"/>
    <w:rsid w:val="00E9748C"/>
    <w:rsid w:val="00EA1CAD"/>
    <w:rsid w:val="00EA4989"/>
    <w:rsid w:val="00EB1A38"/>
    <w:rsid w:val="00EC43A1"/>
    <w:rsid w:val="00EC69DD"/>
    <w:rsid w:val="00EC7869"/>
    <w:rsid w:val="00ED303E"/>
    <w:rsid w:val="00ED6A9C"/>
    <w:rsid w:val="00EE4F8C"/>
    <w:rsid w:val="00EF328B"/>
    <w:rsid w:val="00F06E39"/>
    <w:rsid w:val="00F1530C"/>
    <w:rsid w:val="00F27516"/>
    <w:rsid w:val="00F333CE"/>
    <w:rsid w:val="00F33B50"/>
    <w:rsid w:val="00F34A4F"/>
    <w:rsid w:val="00F34D9B"/>
    <w:rsid w:val="00F62C22"/>
    <w:rsid w:val="00F7281D"/>
    <w:rsid w:val="00F75F68"/>
    <w:rsid w:val="00F77036"/>
    <w:rsid w:val="00F90B5E"/>
    <w:rsid w:val="00F91891"/>
    <w:rsid w:val="00FA0C50"/>
    <w:rsid w:val="00FC3B60"/>
    <w:rsid w:val="00FD2DE7"/>
    <w:rsid w:val="00FD7780"/>
    <w:rsid w:val="00FE006E"/>
    <w:rsid w:val="00FE007D"/>
    <w:rsid w:val="00FE1F52"/>
    <w:rsid w:val="00FE4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9950"/>
  <w15:docId w15:val="{2C7450BC-8DA6-48A1-B6CC-F5818787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textAlignment w:val="baseline"/>
    </w:pPr>
    <w:rPr>
      <w:sz w:val="24"/>
      <w:szCs w:val="24"/>
    </w:rPr>
  </w:style>
  <w:style w:type="paragraph" w:styleId="Heading1">
    <w:name w:val="heading 1"/>
    <w:basedOn w:val="Normal"/>
    <w:next w:val="Normal"/>
    <w:pPr>
      <w:keepNext/>
      <w:ind w:left="4320"/>
      <w:jc w:val="both"/>
      <w:outlineLvl w:val="0"/>
    </w:pPr>
    <w:rPr>
      <w:rFonts w:ascii="Arial" w:hAnsi="Arial"/>
      <w:b/>
      <w:bCs/>
      <w:sz w:val="20"/>
      <w:szCs w:val="20"/>
    </w:rPr>
  </w:style>
  <w:style w:type="paragraph" w:styleId="Heading2">
    <w:name w:val="heading 2"/>
    <w:basedOn w:val="Normal"/>
    <w:next w:val="Normal"/>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hanging="1440"/>
    </w:pPr>
    <w:rPr>
      <w:rFonts w:ascii="Arial" w:hAnsi="Arial" w:cs="Arial"/>
      <w:b/>
      <w:bCs/>
      <w:sz w:val="20"/>
      <w:szCs w:val="20"/>
    </w:rPr>
  </w:style>
  <w:style w:type="paragraph" w:styleId="BodyText2">
    <w:name w:val="Body Text 2"/>
    <w:basedOn w:val="Normal"/>
    <w:pPr>
      <w:jc w:val="both"/>
    </w:pPr>
    <w:rPr>
      <w:rFonts w:ascii="Arial" w:hAnsi="Arial" w:cs="Arial"/>
      <w:sz w:val="20"/>
      <w:szCs w:val="20"/>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szCs w:val="20"/>
    </w:rPr>
  </w:style>
  <w:style w:type="paragraph" w:styleId="PlainText">
    <w:name w:val="Plain Text"/>
    <w:basedOn w:val="Normal"/>
    <w:pPr>
      <w:spacing w:before="100" w:after="100"/>
    </w:pPr>
  </w:style>
  <w:style w:type="paragraph" w:styleId="NormalWeb">
    <w:name w:val="Normal (Web)"/>
    <w:basedOn w:val="Normal"/>
    <w:uiPriority w:val="99"/>
    <w:pPr>
      <w:spacing w:before="100" w:after="100"/>
    </w:pPr>
  </w:style>
  <w:style w:type="paragraph" w:styleId="ListParagraph">
    <w:name w:val="List Paragraph"/>
    <w:basedOn w:val="Normal"/>
    <w:uiPriority w:val="34"/>
    <w:qFormat/>
    <w:pPr>
      <w:ind w:left="720"/>
    </w:pPr>
  </w:style>
  <w:style w:type="character" w:customStyle="1" w:styleId="PlainTextChar">
    <w:name w:val="Plain Text Char"/>
    <w:rPr>
      <w:sz w:val="24"/>
      <w:szCs w:val="24"/>
    </w:r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styleId="FootnoteText">
    <w:name w:val="footnote text"/>
    <w:basedOn w:val="Normal"/>
    <w:rPr>
      <w:sz w:val="20"/>
      <w:szCs w:val="20"/>
    </w:rPr>
  </w:style>
  <w:style w:type="character" w:customStyle="1" w:styleId="FootnoteTextChar">
    <w:name w:val="Footnote Text Char"/>
    <w:basedOn w:val="DefaultParagraphFont"/>
  </w:style>
  <w:style w:type="character" w:styleId="FootnoteReference">
    <w:name w:val="footnote reference"/>
    <w:rPr>
      <w:position w:val="0"/>
      <w:vertAlign w:val="superscript"/>
    </w:rPr>
  </w:style>
  <w:style w:type="character" w:styleId="Strong">
    <w:name w:val="Strong"/>
    <w:rPr>
      <w:b/>
      <w:bCs/>
    </w:rPr>
  </w:style>
  <w:style w:type="character" w:customStyle="1" w:styleId="FooterChar">
    <w:name w:val="Footer Char"/>
    <w:rPr>
      <w:sz w:val="24"/>
      <w:szCs w:val="24"/>
    </w:rPr>
  </w:style>
  <w:style w:type="paragraph" w:customStyle="1" w:styleId="NormalArial">
    <w:name w:val="Normal + Arial"/>
    <w:basedOn w:val="Normal"/>
    <w:pPr>
      <w:overflowPunct w:val="0"/>
      <w:autoSpaceDE w:val="0"/>
      <w:ind w:right="-1497"/>
      <w:jc w:val="both"/>
    </w:pPr>
    <w:rPr>
      <w:rFonts w:ascii="Arial" w:hAnsi="Arial" w:cs="Arial"/>
      <w:sz w:val="20"/>
    </w:rPr>
  </w:style>
  <w:style w:type="paragraph" w:styleId="TOCHeading">
    <w:name w:val="TOC Heading"/>
    <w:basedOn w:val="Heading1"/>
    <w:next w:val="Normal"/>
    <w:pPr>
      <w:keepLines/>
      <w:spacing w:before="480" w:line="276" w:lineRule="auto"/>
      <w:ind w:left="0"/>
      <w:jc w:val="left"/>
    </w:pPr>
    <w:rPr>
      <w:rFonts w:ascii="Cambria" w:hAnsi="Cambria"/>
      <w:color w:val="365F91"/>
      <w:sz w:val="28"/>
      <w:szCs w:val="28"/>
    </w:rPr>
  </w:style>
  <w:style w:type="paragraph" w:styleId="TOC2">
    <w:name w:val="toc 2"/>
    <w:basedOn w:val="Normal"/>
    <w:next w:val="Normal"/>
    <w:autoRedefine/>
    <w:uiPriority w:val="39"/>
    <w:rsid w:val="00F34A4F"/>
    <w:pPr>
      <w:tabs>
        <w:tab w:val="left" w:pos="660"/>
        <w:tab w:val="right" w:leader="dot" w:pos="9350"/>
      </w:tabs>
      <w:spacing w:after="240"/>
    </w:pPr>
    <w:rPr>
      <w:b/>
      <w:sz w:val="20"/>
      <w:szCs w:val="20"/>
    </w:rPr>
  </w:style>
  <w:style w:type="character" w:customStyle="1" w:styleId="Heading1Char">
    <w:name w:val="Heading 1 Char"/>
    <w:rPr>
      <w:rFonts w:ascii="Arial" w:hAnsi="Arial" w:cs="Arial"/>
      <w:b/>
      <w:bCs/>
    </w:rPr>
  </w:style>
  <w:style w:type="character" w:customStyle="1" w:styleId="Heading2Char">
    <w:name w:val="Heading 2 Char"/>
    <w:rPr>
      <w:b/>
      <w:bCs/>
      <w:sz w:val="26"/>
      <w:szCs w:val="24"/>
    </w:rPr>
  </w:style>
  <w:style w:type="paragraph" w:styleId="TOC1">
    <w:name w:val="toc 1"/>
    <w:basedOn w:val="Normal"/>
    <w:next w:val="Normal"/>
    <w:autoRedefine/>
    <w:uiPriority w:val="39"/>
    <w:rsid w:val="00FE41FD"/>
    <w:pPr>
      <w:tabs>
        <w:tab w:val="right" w:leader="dot" w:pos="660"/>
        <w:tab w:val="right" w:leader="dot" w:pos="10430"/>
      </w:tabs>
      <w:spacing w:before="120" w:after="120" w:line="480" w:lineRule="auto"/>
    </w:pPr>
    <w:rPr>
      <w:b/>
      <w:u w:val="single"/>
    </w:rPr>
  </w:style>
  <w:style w:type="paragraph" w:styleId="EndnoteText">
    <w:name w:val="endnote text"/>
    <w:basedOn w:val="Normal"/>
    <w:rPr>
      <w:sz w:val="20"/>
      <w:szCs w:val="20"/>
    </w:rPr>
  </w:style>
  <w:style w:type="character" w:customStyle="1" w:styleId="EndnoteTextChar">
    <w:name w:val="Endnote Text Char"/>
    <w:basedOn w:val="DefaultParagraphFont"/>
  </w:style>
  <w:style w:type="character" w:styleId="EndnoteReference">
    <w:name w:val="endnote reference"/>
    <w:rPr>
      <w:position w:val="0"/>
      <w:vertAlign w:val="superscript"/>
    </w:rPr>
  </w:style>
  <w:style w:type="character" w:styleId="FollowedHyperlink">
    <w:name w:val="FollowedHyperlink"/>
    <w:rPr>
      <w:color w:val="800080"/>
      <w:u w:val="single"/>
    </w:rPr>
  </w:style>
  <w:style w:type="paragraph" w:customStyle="1" w:styleId="H1">
    <w:name w:val="H1"/>
    <w:pPr>
      <w:suppressAutoHyphens/>
      <w:autoSpaceDN w:val="0"/>
      <w:spacing w:before="60" w:after="60"/>
      <w:textAlignment w:val="baseline"/>
    </w:pPr>
    <w:rPr>
      <w:rFonts w:cs="Arial"/>
      <w:b/>
      <w:bCs/>
      <w:kern w:val="3"/>
      <w:sz w:val="24"/>
      <w:szCs w:val="32"/>
      <w:lang w:val="en-GB"/>
    </w:rPr>
  </w:style>
  <w:style w:type="paragraph" w:customStyle="1" w:styleId="H2">
    <w:name w:val="H2"/>
    <w:pPr>
      <w:suppressAutoHyphens/>
      <w:autoSpaceDN w:val="0"/>
      <w:textAlignment w:val="baseline"/>
    </w:pPr>
    <w:rPr>
      <w:rFonts w:cs="Arial"/>
      <w:b/>
      <w:bCs/>
      <w:iCs/>
      <w:sz w:val="22"/>
      <w:szCs w:val="28"/>
      <w:lang w:val="en-GB"/>
    </w:rPr>
  </w:style>
  <w:style w:type="character" w:customStyle="1" w:styleId="FootnoteTextChar1">
    <w:name w:val="Footnote Text Char1"/>
    <w:basedOn w:val="DefaultParagraphFont"/>
  </w:style>
  <w:style w:type="paragraph" w:styleId="NoSpacing">
    <w:name w:val="No Spacing"/>
    <w:pPr>
      <w:autoSpaceDN w:val="0"/>
    </w:pPr>
    <w:rPr>
      <w:rFonts w:ascii="Calibri" w:eastAsia="Calibri" w:hAnsi="Calibri" w:cs="Calibri"/>
      <w:sz w:val="22"/>
      <w:szCs w:val="22"/>
    </w:rPr>
  </w:style>
  <w:style w:type="character" w:customStyle="1" w:styleId="FooterChar1">
    <w:name w:val="Footer Char1"/>
    <w:rPr>
      <w:sz w:val="24"/>
      <w:szCs w:val="24"/>
    </w:rPr>
  </w:style>
  <w:style w:type="paragraph" w:styleId="TOC3">
    <w:name w:val="toc 3"/>
    <w:basedOn w:val="Normal"/>
    <w:next w:val="Normal"/>
    <w:autoRedefine/>
    <w:pPr>
      <w:suppressAutoHyphens w:val="0"/>
      <w:spacing w:after="100" w:line="276" w:lineRule="auto"/>
      <w:ind w:left="440"/>
      <w:textAlignment w:val="auto"/>
    </w:pPr>
    <w:rPr>
      <w:rFonts w:ascii="Calibri" w:hAnsi="Calibri"/>
      <w:sz w:val="22"/>
      <w:szCs w:val="22"/>
    </w:rPr>
  </w:style>
  <w:style w:type="paragraph" w:customStyle="1" w:styleId="Clea">
    <w:name w:val="Clea"/>
    <w:basedOn w:val="Heading1"/>
    <w:pPr>
      <w:suppressAutoHyphens w:val="0"/>
      <w:jc w:val="center"/>
      <w:textAlignment w:val="auto"/>
    </w:pPr>
    <w:rPr>
      <w:rFonts w:cs="Calibri"/>
      <w:b w:val="0"/>
      <w:bCs w:val="0"/>
      <w:color w:val="000000"/>
      <w:sz w:val="22"/>
      <w:szCs w:val="22"/>
    </w:rPr>
  </w:style>
  <w:style w:type="paragraph" w:customStyle="1" w:styleId="Default">
    <w:name w:val="Default"/>
    <w:pPr>
      <w:widowControl w:val="0"/>
      <w:autoSpaceDE w:val="0"/>
      <w:autoSpaceDN w:val="0"/>
    </w:pPr>
    <w:rPr>
      <w:rFonts w:ascii="Arial" w:eastAsia="MS Mincho" w:hAnsi="Arial" w:cs="Arial"/>
      <w:color w:val="000000"/>
      <w:sz w:val="24"/>
      <w:szCs w:val="24"/>
    </w:rPr>
  </w:style>
  <w:style w:type="paragraph" w:customStyle="1" w:styleId="Bulletlevel1">
    <w:name w:val="Bullet level 1"/>
    <w:basedOn w:val="Normal"/>
    <w:pPr>
      <w:numPr>
        <w:numId w:val="1"/>
      </w:numPr>
      <w:suppressAutoHyphens w:val="0"/>
      <w:textAlignment w:val="auto"/>
    </w:pPr>
    <w:rPr>
      <w:rFonts w:ascii="Cambria" w:hAnsi="Cambria"/>
      <w:sz w:val="23"/>
    </w:rPr>
  </w:style>
  <w:style w:type="paragraph" w:styleId="BodyText3">
    <w:name w:val="Body Text 3"/>
    <w:basedOn w:val="Normal"/>
    <w:pPr>
      <w:suppressAutoHyphens w:val="0"/>
      <w:spacing w:after="120"/>
      <w:textAlignment w:val="auto"/>
    </w:pPr>
    <w:rPr>
      <w:sz w:val="16"/>
      <w:szCs w:val="16"/>
    </w:rPr>
  </w:style>
  <w:style w:type="character" w:customStyle="1" w:styleId="BodyText3Char">
    <w:name w:val="Body Text 3 Char"/>
    <w:rPr>
      <w:sz w:val="16"/>
      <w:szCs w:val="16"/>
    </w:rPr>
  </w:style>
  <w:style w:type="character" w:customStyle="1" w:styleId="HeaderChar">
    <w:name w:val="Header Char"/>
    <w:rPr>
      <w:sz w:val="24"/>
      <w:szCs w:val="24"/>
    </w:rPr>
  </w:style>
  <w:style w:type="paragraph" w:customStyle="1" w:styleId="TableText">
    <w:name w:val="Table Text"/>
    <w:basedOn w:val="Normal"/>
    <w:pPr>
      <w:suppressAutoHyphens w:val="0"/>
      <w:spacing w:before="20"/>
      <w:textAlignment w:val="auto"/>
    </w:pPr>
    <w:rPr>
      <w:rFonts w:ascii="Garamond" w:eastAsia="MS Mincho" w:hAnsi="Garamond" w:cs="Garamond"/>
      <w:sz w:val="20"/>
      <w:szCs w:val="20"/>
      <w:lang w:val="en-GB"/>
    </w:rPr>
  </w:style>
  <w:style w:type="paragraph" w:styleId="Revision">
    <w:name w:val="Revision"/>
    <w:pPr>
      <w:autoSpaceDN w:val="0"/>
    </w:pPr>
    <w:rPr>
      <w:sz w:val="24"/>
      <w:szCs w:val="24"/>
    </w:rPr>
  </w:style>
  <w:style w:type="numbering" w:customStyle="1" w:styleId="LFO17">
    <w:name w:val="LFO17"/>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8233">
      <w:bodyDiv w:val="1"/>
      <w:marLeft w:val="0"/>
      <w:marRight w:val="0"/>
      <w:marTop w:val="0"/>
      <w:marBottom w:val="0"/>
      <w:divBdr>
        <w:top w:val="none" w:sz="0" w:space="0" w:color="auto"/>
        <w:left w:val="none" w:sz="0" w:space="0" w:color="auto"/>
        <w:bottom w:val="none" w:sz="0" w:space="0" w:color="auto"/>
        <w:right w:val="none" w:sz="0" w:space="0" w:color="auto"/>
      </w:divBdr>
    </w:div>
    <w:div w:id="40056662">
      <w:bodyDiv w:val="1"/>
      <w:marLeft w:val="0"/>
      <w:marRight w:val="0"/>
      <w:marTop w:val="0"/>
      <w:marBottom w:val="0"/>
      <w:divBdr>
        <w:top w:val="none" w:sz="0" w:space="0" w:color="auto"/>
        <w:left w:val="none" w:sz="0" w:space="0" w:color="auto"/>
        <w:bottom w:val="none" w:sz="0" w:space="0" w:color="auto"/>
        <w:right w:val="none" w:sz="0" w:space="0" w:color="auto"/>
      </w:divBdr>
    </w:div>
    <w:div w:id="298918496">
      <w:bodyDiv w:val="1"/>
      <w:marLeft w:val="0"/>
      <w:marRight w:val="0"/>
      <w:marTop w:val="0"/>
      <w:marBottom w:val="0"/>
      <w:divBdr>
        <w:top w:val="none" w:sz="0" w:space="0" w:color="auto"/>
        <w:left w:val="none" w:sz="0" w:space="0" w:color="auto"/>
        <w:bottom w:val="none" w:sz="0" w:space="0" w:color="auto"/>
        <w:right w:val="none" w:sz="0" w:space="0" w:color="auto"/>
      </w:divBdr>
    </w:div>
    <w:div w:id="578057709">
      <w:bodyDiv w:val="1"/>
      <w:marLeft w:val="0"/>
      <w:marRight w:val="0"/>
      <w:marTop w:val="0"/>
      <w:marBottom w:val="0"/>
      <w:divBdr>
        <w:top w:val="none" w:sz="0" w:space="0" w:color="auto"/>
        <w:left w:val="none" w:sz="0" w:space="0" w:color="auto"/>
        <w:bottom w:val="none" w:sz="0" w:space="0" w:color="auto"/>
        <w:right w:val="none" w:sz="0" w:space="0" w:color="auto"/>
      </w:divBdr>
    </w:div>
    <w:div w:id="913734252">
      <w:bodyDiv w:val="1"/>
      <w:marLeft w:val="0"/>
      <w:marRight w:val="0"/>
      <w:marTop w:val="0"/>
      <w:marBottom w:val="0"/>
      <w:divBdr>
        <w:top w:val="none" w:sz="0" w:space="0" w:color="auto"/>
        <w:left w:val="none" w:sz="0" w:space="0" w:color="auto"/>
        <w:bottom w:val="none" w:sz="0" w:space="0" w:color="auto"/>
        <w:right w:val="none" w:sz="0" w:space="0" w:color="auto"/>
      </w:divBdr>
    </w:div>
    <w:div w:id="1765608058">
      <w:bodyDiv w:val="1"/>
      <w:marLeft w:val="0"/>
      <w:marRight w:val="0"/>
      <w:marTop w:val="0"/>
      <w:marBottom w:val="0"/>
      <w:divBdr>
        <w:top w:val="none" w:sz="0" w:space="0" w:color="auto"/>
        <w:left w:val="none" w:sz="0" w:space="0" w:color="auto"/>
        <w:bottom w:val="none" w:sz="0" w:space="0" w:color="auto"/>
        <w:right w:val="none" w:sz="0" w:space="0" w:color="auto"/>
      </w:divBdr>
    </w:div>
    <w:div w:id="1925987986">
      <w:bodyDiv w:val="1"/>
      <w:marLeft w:val="0"/>
      <w:marRight w:val="0"/>
      <w:marTop w:val="0"/>
      <w:marBottom w:val="0"/>
      <w:divBdr>
        <w:top w:val="none" w:sz="0" w:space="0" w:color="auto"/>
        <w:left w:val="none" w:sz="0" w:space="0" w:color="auto"/>
        <w:bottom w:val="none" w:sz="0" w:space="0" w:color="auto"/>
        <w:right w:val="none" w:sz="0" w:space="0" w:color="auto"/>
      </w:divBdr>
    </w:div>
    <w:div w:id="2103986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cdf.org/en/content/timor-leste%E2%80%99s-first-mobile-money-pilot-launched-expand-access-financial-services"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cdf.org/en/content/timor-leste%E2%80%99s-first-mobile-money-pilot-launched-expand-access-financial-services"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6.xml"/><Relationship Id="rId10" Type="http://schemas.openxmlformats.org/officeDocument/2006/relationships/image" Target="media/image2.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cid:image003.png@01CF4DA3.68F7C4F0" TargetMode="External"/><Relationship Id="rId14" Type="http://schemas.openxmlformats.org/officeDocument/2006/relationships/hyperlink" Target="http://www.uncdf.org/en/content/timor-leste%E2%80%99s-first-mobile-money-pilot-launched-expand-access-financial-services"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2016-04-18T01:00:00+00:00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1154</Value>
      <Value>1111</Value>
      <Value>1</Value>
      <Value>763</Value>
    </TaxCatchAll>
    <c4e2ab2cc9354bbf9064eeb465a566ea xmlns="1ed4137b-41b2-488b-8250-6d369ec27664">
      <Terms xmlns="http://schemas.microsoft.com/office/infopath/2007/PartnerControls"/>
    </c4e2ab2cc9354bbf9064eeb465a566ea>
    <UndpProjectNo xmlns="1ed4137b-41b2-488b-8250-6d369ec27664">00061961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TLS</TermName>
          <TermId xmlns="http://schemas.microsoft.com/office/infopath/2007/PartnerControls">c423ad4e-09df-4308-9525-857f231bb0e1</TermId>
        </TermInfo>
      </Terms>
    </gc6531b704974d528487414686b72f6f>
    <_dlc_DocId xmlns="f1161f5b-24a3-4c2d-bc81-44cb9325e8ee">ATLASPDC-4-47552</_dlc_DocId>
    <_dlc_DocIdUrl xmlns="f1161f5b-24a3-4c2d-bc81-44cb9325e8ee">
      <Url>https://info.undp.org/docs/pdc/_layouts/DocIdRedir.aspx?ID=ATLASPDC-4-47552</Url>
      <Description>ATLASPDC-4-47552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8DCD8C7-B8A9-4321-B64A-448EB171AF6F}"/>
</file>

<file path=customXml/itemProps2.xml><?xml version="1.0" encoding="utf-8"?>
<ds:datastoreItem xmlns:ds="http://schemas.openxmlformats.org/officeDocument/2006/customXml" ds:itemID="{A6E11793-D40E-4530-8A05-3B949202F9D9}"/>
</file>

<file path=customXml/itemProps3.xml><?xml version="1.0" encoding="utf-8"?>
<ds:datastoreItem xmlns:ds="http://schemas.openxmlformats.org/officeDocument/2006/customXml" ds:itemID="{9785C892-867A-4D96-89D9-E956F2CC4898}"/>
</file>

<file path=customXml/itemProps4.xml><?xml version="1.0" encoding="utf-8"?>
<ds:datastoreItem xmlns:ds="http://schemas.openxmlformats.org/officeDocument/2006/customXml" ds:itemID="{3E1AFEB4-F349-4881-82F6-60940A546C4D}"/>
</file>

<file path=customXml/itemProps5.xml><?xml version="1.0" encoding="utf-8"?>
<ds:datastoreItem xmlns:ds="http://schemas.openxmlformats.org/officeDocument/2006/customXml" ds:itemID="{C0E48519-4F57-45BA-938D-5C1A0AB6E0D2}"/>
</file>

<file path=customXml/itemProps6.xml><?xml version="1.0" encoding="utf-8"?>
<ds:datastoreItem xmlns:ds="http://schemas.openxmlformats.org/officeDocument/2006/customXml" ds:itemID="{3C637FA0-4634-4046-8775-9F1CCE4B5DB2}"/>
</file>

<file path=docProps/app.xml><?xml version="1.0" encoding="utf-8"?>
<Properties xmlns="http://schemas.openxmlformats.org/officeDocument/2006/extended-properties" xmlns:vt="http://schemas.openxmlformats.org/officeDocument/2006/docPropsVTypes">
  <Template>Normal.dotm</Template>
  <TotalTime>0</TotalTime>
  <Pages>17</Pages>
  <Words>6759</Words>
  <Characters>38530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45199</CharactersWithSpaces>
  <SharedDoc>false</SharedDoc>
  <HLinks>
    <vt:vector size="24" baseType="variant">
      <vt:variant>
        <vt:i4>1245235</vt:i4>
      </vt:variant>
      <vt:variant>
        <vt:i4>11</vt:i4>
      </vt:variant>
      <vt:variant>
        <vt:i4>0</vt:i4>
      </vt:variant>
      <vt:variant>
        <vt:i4>5</vt:i4>
      </vt:variant>
      <vt:variant>
        <vt:lpwstr/>
      </vt:variant>
      <vt:variant>
        <vt:lpwstr>_Toc351119090</vt:lpwstr>
      </vt:variant>
      <vt:variant>
        <vt:i4>1179699</vt:i4>
      </vt:variant>
      <vt:variant>
        <vt:i4>8</vt:i4>
      </vt:variant>
      <vt:variant>
        <vt:i4>0</vt:i4>
      </vt:variant>
      <vt:variant>
        <vt:i4>5</vt:i4>
      </vt:variant>
      <vt:variant>
        <vt:lpwstr/>
      </vt:variant>
      <vt:variant>
        <vt:lpwstr>_Toc351119087</vt:lpwstr>
      </vt:variant>
      <vt:variant>
        <vt:i4>1179699</vt:i4>
      </vt:variant>
      <vt:variant>
        <vt:i4>5</vt:i4>
      </vt:variant>
      <vt:variant>
        <vt:i4>0</vt:i4>
      </vt:variant>
      <vt:variant>
        <vt:i4>5</vt:i4>
      </vt:variant>
      <vt:variant>
        <vt:lpwstr/>
      </vt:variant>
      <vt:variant>
        <vt:lpwstr>_Toc351119086</vt:lpwstr>
      </vt:variant>
      <vt:variant>
        <vt:i4>1179699</vt:i4>
      </vt:variant>
      <vt:variant>
        <vt:i4>2</vt:i4>
      </vt:variant>
      <vt:variant>
        <vt:i4>0</vt:i4>
      </vt:variant>
      <vt:variant>
        <vt:i4>5</vt:i4>
      </vt:variant>
      <vt:variant>
        <vt:lpwstr/>
      </vt:variant>
      <vt:variant>
        <vt:lpwstr>_Toc351119085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lastModifiedBy>Honorina Sarmento</cp:lastModifiedBy>
  <cp:revision>2</cp:revision>
  <cp:lastPrinted>2015-04-21T12:52:00Z</cp:lastPrinted>
  <dcterms:created xsi:type="dcterms:W3CDTF">2016-04-18T01:07:00Z</dcterms:created>
  <dcterms:modified xsi:type="dcterms:W3CDTF">2016-04-18T01:07:00Z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237;#Donor Report|1721730c-4059-4c70-9961-19247f3f89af</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1154;#TLS|c423ad4e-09df-4308-9525-857f231bb0e1</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1111;#Donor Report|632012e1-2edc-436c-bf11-0ed9e79cd8fe</vt:lpwstr>
  </property>
  <property fmtid="{D5CDD505-2E9C-101B-9397-08002B2CF9AE}" pid="17" name="_dlc_DocIdItemGuid">
    <vt:lpwstr>1b4dfd8b-80e4-4729-bf15-fcf0f603dd39</vt:lpwstr>
  </property>
  <property fmtid="{D5CDD505-2E9C-101B-9397-08002B2CF9AE}" pid="18" name="URL">
    <vt:lpwstr/>
  </property>
  <property fmtid="{D5CDD505-2E9C-101B-9397-08002B2CF9AE}" pid="19" name="DocumentSetDescription">
    <vt:lpwstr/>
  </property>
</Properties>
</file>